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P/6626/2023 vom 4. Dezember 2023</w:t>
      </w:r>
    </w:p>
    <w:p>
      <w:r>
        <w:t>GE Cour de justice, 2023-12-04, FR</w:t>
      </w:r>
    </w:p>
    <w:p>
      <w:r>
        <w:rPr>
          <w:b/>
        </w:rPr>
        <w:t xml:space="preserve">Quelle: </w:t>
      </w:r>
      <w:r>
        <w:t>https://mcp.opencaselaw.ch/entscheid/ge_gerichte_P_6626_2023</w:t>
      </w:r>
    </w:p>
    <w:p>
      <w:r>
        <w:t>FR: GE_GERICHTE P/6626/2023 du 4 décembre 2023</w:t>
      </w:r>
    </w:p>
    <w:p>
      <w:r>
        <w:t>IT: GE_GERICHTE P/6626/2023 del 4 dicembre 2023</w:t>
      </w:r>
    </w:p>
    <w:p>
      <w:pPr>
        <w:pStyle w:val="Heading2"/>
      </w:pPr>
      <w:r>
        <w:t>Regeste</w:t>
      </w:r>
    </w:p>
    <w:p>
      <w:r>
        <w:t>AVOCAT D'OFFICE;REMPLACEMENT | CPP.134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d'avoir refusé de remplacer son défenseur d'office.![endif]&gt;![if&gt;</w:t>
      </w:r>
    </w:p>
    <w:p>
      <w:r>
        <w:rPr>
          <w:b/>
        </w:rPr>
        <w:t>E. 3.1</w:t>
      </w:r>
    </w:p>
    <w:p>
      <w:r>
        <w:t>À teneur de l'art. 134 al. 2 CPP, si la relation de confiance entre le prévenu et le défenseur d'office est gravement perturbée ou si une défense efficace n'est plus assurée pour d'autres raisons, la direction de la procédure confie la défense d'office à une autre personne.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1P_364/2004 précité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ce dernier dispose d’un important pouvoir d’appréciation dans la manière d’organiser la conduite du procès; sa mission ne consiste donc pas seulement à endosser le rôle de porte-parole sans esprit critique de l'accusé, qui se limiterait à se faire simple interprète des sentiments et des arguments de son client (ATF 126 I 194 consid. 3d; 116 Ia 102 consid. 4b/bb p. 105; arrêts du Tribunal fédéral 6B_1047/2021 du 25 juillet 2022 consid. 1.1.3.; 105 Ia 296 consid. 1 p. 304;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 2ème éd., Bâle 2019. n. 20-22 ad art. 134).</w:t>
      </w:r>
    </w:p>
    <w:p>
      <w:r>
        <w:rPr>
          <w:b/>
        </w:rPr>
        <w:t>E. 3.2</w:t>
      </w:r>
    </w:p>
    <w:p>
      <w:r>
        <w:t>En l'espèce, le recourant ne démontre pas que la relation de confiance serait, objectivement , gravement perturbée, ni qu'il ne bénéficierait plus d'une défense efficace. D'ailleurs, interrogé lors de l'audience du 19 décembre dernier, il a confirmé ne pas avoir de reproche à formuler à l'égard de son avocate, mais préférer M e C______. Concrètement, il se plaint de l'absence, pour congé maternité, de son avocate, mais il ressort du dossier qu'il a dûment été assisté, depuis septembre 2023 [et non depuis mai puisque M e D______ a encore accompli des actes jusqu'en septembre 2023] principalement par M e E______ [et non " Me G______ "], qui a une grande pratique du droit pénal, de sorte que le remplacement provisoire du défenseur d'office n'a, objectivement, pas été défavorable au recourant. Il déplore par ailleurs le fait que, malgré ses demandes en ce sens auprès de son avocate – allégation qui n'est pas vérifiable –, il n'aurait jamais été entendu par le Tribunal des mesures de contrainte. Cela étant, à teneur du dossier, il a expressément demandé à ne pas comparaître devant ledit tribunal lors de son arrestation en mars 2023. Puis, ses avocats se sont systématiquement opposés aux demandes de prolongation de la détention, de sorte qu'ils ne sont pas restés inactifs. Si le recourant tenait à être entendu par le Tribunal des mesures de contrainte, il pouvait en faire la demande, par écrit, auprès de cette instance, et il peut en outre, en tout temps, demander sa mise en liberté, également en personne (art. 228 al. 1 CPP). Que le recourant n'ait pas été informé, par son avocat, de la suite donnée par le Ministère public à un acte d'enquête ne révèle pas un grave manquement dans la conduite du mandat, ni ne relève d'une grave perturbation de la relation de confiance, étant observé qu'on ignore si cette information a été transmise par le Procureur au défenseur d'office. L'avancement de l'instruction dépend au demeurant du Ministère public et non du défenseur, de sorte que le prolongement de la procédure ne saurait être imputable à ce dernier. Le recourant allègue enfin des divergences dans la stratégie de défense, mais il appartient à l'avocat de décider de la conduite du procès, de sorte qu'il ne suffit pas qu'un prévenu allègue ne pas se reconnaître dans la stratégie adoptée pour se voir accorder un changement de défenseur, car il n'est guère possible de définir la probabilité avec laquelle telle option de défense conduira ou non au but recherché. Les décisions de stratégie dépendent de nombreux facteurs, lesquels offrent une large marge d'appréciation au défenseur, de sorte qu'elles ne peuvent qu'être soustraites au contrôle des autorités (ATF 126 I 194 susmentionné, consid. 3d). Pour ces motifs, c'est à bon droit que le Ministère public a refusé de révoquer le défenseur d'office.</w:t>
      </w:r>
    </w:p>
    <w:p>
      <w:r>
        <w:rPr>
          <w:b/>
        </w:rPr>
        <w:t>E. 4</w:t>
      </w:r>
    </w:p>
    <w:p>
      <w:r>
        <w:t>Infondé, le recours sera donc rejeté.![endif]&gt;![if&gt;</w:t>
      </w:r>
    </w:p>
    <w:p>
      <w:r>
        <w:rPr>
          <w:b/>
        </w:rPr>
        <w:t>E. 5</w:t>
      </w:r>
    </w:p>
    <w:p>
      <w:r>
        <w:t>Le recourant, qui succombe en comparant par un défenseur privé, supportera les frais envers l'État, fixés en totalité à CHF 900.-, y compris l’émolument de décision (art. 428 al. 1 CPP et 13 al. 1 du Règlement fixant le tarif des frais en matière pénale, RTFMP - E 4 10.03).![endif]&gt;![if&gt;</w:t>
      </w:r>
    </w:p>
    <w:p>
      <w:r>
        <w:rPr>
          <w:b/>
        </w:rPr>
        <w:t>E. 6</w:t>
      </w:r>
    </w:p>
    <w:p>
      <w:r>
        <w:t>Pour le même motif, ledit conseil n’a pas droit à des dépens, à l'octroi desquels il n'a du reste pas conclu.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