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P/6598/2023 vom 22. Juni 2023</w:t>
      </w:r>
    </w:p>
    <w:p>
      <w:r>
        <w:t>GE Cour de justice, 2023-06-22, FR</w:t>
      </w:r>
    </w:p>
    <w:p>
      <w:r>
        <w:rPr>
          <w:b/>
        </w:rPr>
        <w:t xml:space="preserve">Quelle: </w:t>
      </w:r>
      <w:r>
        <w:t>https://mcp.opencaselaw.ch/entscheid/ge_gerichte_P_6598_2023</w:t>
      </w:r>
    </w:p>
    <w:p>
      <w:r>
        <w:t>FR: GE_GERICHTE P/6598/2023 du 22 juin 2023</w:t>
      </w:r>
    </w:p>
    <w:p>
      <w:r>
        <w:t>IT: GE_GERICHTE P/6598/2023 del 22 giugno 2023</w:t>
      </w:r>
    </w:p>
    <w:p>
      <w:pPr>
        <w:pStyle w:val="Heading2"/>
      </w:pPr>
      <w:r>
        <w:t>Regeste</w:t>
      </w:r>
    </w:p>
    <w:p>
      <w:r>
        <w:t>ORDONNANCE DE NON-ENTRÉE EN MATIÈRE;CONTRAINTE(DROIT PÉNAL);COMMANDEMENT DE PAYER;CRÉANCE | CP.181; CP.22; CPP.310</w:t>
      </w:r>
    </w:p>
    <w:p>
      <w:pPr>
        <w:pStyle w:val="Heading2"/>
      </w:pPr>
      <w:r>
        <w:t>Erwägungen</w:t>
      </w:r>
    </w:p>
    <w:p>
      <w:r>
        <w:rPr>
          <w:b/>
        </w:rPr>
        <w:t>E. 1</w:t>
      </w:r>
    </w:p>
    <w:p>
      <w:r>
        <w:t>Le recours est recevable pour avoir été déposé selon la forme et – les formalités de notification n'ayant pas été respectées (art.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reproche au Ministère public de ne pas être entré en matière sur sa plainte.![endif]&gt;![if&gt;</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réunis.![endif]&gt;![if&gt;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(Y. JEANNERET / A. KUHN / C. PERRIER DEPEURSINGE (éds), Commentaire romand : Code de procédure pénale suisse , 2 ème éd., Bâle 2019, n. 9 ad art. 310).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op. cit , n. 10 ad art. 310). 3.2.1. Se rend coupable de contrainte au sens de l'art. 181 CP, quiconque, en usant de violence envers une personne ou en la menaçant d'un dommage sérieux, ou en l'entravant de quelque autre manière dans la liberté d'action, l'oblige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On vise ici non la simple mise en garde ou l'avertissement, mais une forme de pression psychologique qui peut, par exemple, consister en la perspective de porter atteinte à un bien particulier, comme la santé, mais aussi à des acquis immatériels tels l'avenir économique, les chances de carrière, l'honneur, la considération et l'intégrité d'une personne ou encore la réputation auprès de la clientèle d'une entreprise. La question doit être tranchée en fonction de critères objectifs en se plaçant du point de vue d'une personne de sensibilité moyenne (ATF 122 IV 322 consid. 1a; 120 IV 17 consid. 2a/aa).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En soi, faire une offre transactionnelle n'est pas illicite, mais peut le devenir, lorsque l'auteur tente d'obtenir plus que ce à quoi il a droit, en menaçant la partie adverse d'un dommage sérieux; il y a en effet inadéquation entre le moyen employé et le but visé (ATF 132 IV 112 consid. 4.4). 3.2.2.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 du Tribunal fédéral 6B_614/2021 du 20 avril 2022 consid. 7.2). Un acte de contrainte peut éventuellement être réalisé au travers de la notification d'un commandement de payer si celui-ci est illicite en soi. Tel sera le cas lorsque le soi-disant créancier n'est pas fondé à réclamer la somme objet de la poursuite ou encore lorsque le commandement de payer repose sur un document faux ou falsifié (arrêts du Tribunal fédéral 6B_281/2013 du 16 juillet 2013 consid. 1.1.2 et 6B_447/2014 du 30 octobre 2014 consid. 2.2). Le fondement de la créance invoquée, le montant indiqué sur le commandement de payer et le contexte de sa notification sont autant d'éléments pertinents dans l'appréciation des circonstances du cas d'espèce. S'agissant du fondement de la créance déduite en poursuite, il suffit que la situation juridique ne soit pas d'une clarté indiscutable pour admettre la licéité, sous l'angle de l'infraction de contrainte, du commandement de payer (R. JORDAN, Les poursuites injustifiées: point de situation , in Revue de l'avocat 2017 p. 131 s. et les arrêts cités).</w:t>
      </w:r>
    </w:p>
    <w:p>
      <w:r>
        <w:rPr>
          <w:b/>
        </w:rPr>
        <w:t>E. 3.3</w:t>
      </w:r>
    </w:p>
    <w:p>
      <w:r>
        <w:t>En l'espèce, le recourant reproche tout d'abord à son ancien employeur de l'avoir obligé à signer le certificat UCA, en faisant dépendre de cette signature le versement de son bonus, qui était, selon lui, contractuellement dû. On ne voit toutefois pas, dans cette situation, la réalisation des éléments constitutifs d'une contrainte. En effet, il était loisible au recourant de solliciter le paiement des éventuelles créances découlant de son contrat de travail, le cas échéant en agissant en justice. Partant, rien ne l'obligeait à signer la convention. De plus, un employeur qui refuse de payer à son employé une somme, au motif qu'il la considère comme une gratification discrétionnaire n'adopte nullement un comportement constitutif de contrainte. Il se contente de faire valoir son interprétation des engagements qui le lient au travailleur. Le fait que cette interprétation diverge de celle de l'employé est pénalement irrelevant. En outre, le recourant estime que l'envoi de courriers avec la menace de notification d'un commandement de payer constituerait un moyen de contrainte illicite visant à lui faire payer une somme d'argent qu'il ne devait pas. Ce raisonnement ne peut être suivi, dans la mesure où les éléments du dossier ne permettent pas de retenir que la banque ne serait pas de bonne foi quant à l'existence d'une créance contre le recourant. En effet, d'après l'art. 4 du certificat UCA, l'employé s'engageait à rembourser au pro rata le paiement du bonus en cas de démission avant l'échéance du délai de trois ans à compter dudit paiement. Le recourant ayant résilié le contrat de travail avant l'échéance du délai, la banque pouvait a priori prétendre au remboursement d'une partie du bonus versé – cas échéant par la voie légale de la poursuite pour dettes – et ce, nonobstant les circonstances personnelles de son ancien employé. Il existe donc sur le plan pénal un lien suffisant entre la créance invoquée par la banque et le montant réclamé – sans qu'il n'appartienne aux autorités pénales de décider si l'invalidation de contrat était fondée, cette question étant de nature civile –. Faute de prévention pénale suffisante, la décision querellée ne prête ainsi pas le flanc à la critique.</w:t>
      </w:r>
    </w:p>
    <w:p>
      <w:r>
        <w:rPr>
          <w:b/>
        </w:rPr>
        <w:t>E. 4</w:t>
      </w:r>
    </w:p>
    <w:p>
      <w:r>
        <w:t>Justifiée, l'ordonnance querellée sera donc confirmée. ![endif]&gt;![if&gt;</w:t>
      </w:r>
    </w:p>
    <w:p>
      <w:r>
        <w:rPr>
          <w:b/>
        </w:rPr>
        <w:t>E. 5</w:t>
      </w:r>
    </w:p>
    <w:p>
      <w:r>
        <w:t>Le recourant, qui succombe, supportera les frais envers l'État, fixés en totalité à CHF 1'500.- (art. 428 al. 1 CPP et 13 al. 1 du Règlement fixant le tarif des frais en matière pénale, RTFMP ; E 4 10.03).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