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P/6582/2020 vom 13. Juli 2021</w:t>
      </w:r>
    </w:p>
    <w:p>
      <w:r>
        <w:t>GE Cour de justice, 2021-07-13, FR</w:t>
      </w:r>
    </w:p>
    <w:p>
      <w:r>
        <w:rPr>
          <w:b/>
        </w:rPr>
        <w:t xml:space="preserve">Quelle: </w:t>
      </w:r>
      <w:r>
        <w:t>https://mcp.opencaselaw.ch/entscheid/ge_gerichte_P_6582_2020</w:t>
      </w:r>
    </w:p>
    <w:p>
      <w:r>
        <w:t>FR: GE_GERICHTE P/6582/2020 du 13 juillet 2021</w:t>
      </w:r>
    </w:p>
    <w:p>
      <w:r>
        <w:t>IT: GE_GERICHTE P/6582/2020 del 13 luglio 2021</w:t>
      </w:r>
    </w:p>
    <w:p>
      <w:pPr>
        <w:pStyle w:val="Heading2"/>
      </w:pPr>
      <w:r>
        <w:t>Regeste</w:t>
      </w:r>
    </w:p>
    <w:p>
      <w:r>
        <w:t>Infraction grave à la LSTUP ; Infraction simple à la LCR | OAC.147 LStup; LStup.19.al1; LStup.19.al2; LSTUP.19.al3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 6B_1306/2017 du 17 mai 2018 consid. 2.1.1).</w:t>
      </w:r>
    </w:p>
    <w:p>
      <w:r>
        <w:rPr>
          <w:b/>
        </w:rPr>
        <w:t>E. 2.2</w:t>
      </w:r>
    </w:p>
    <w:p>
      <w:r>
        <w:t>Selon l'art. 19 al. 1 LStup, est puni d'une peine privative de liberté de trois au plus ou d'une peine pécuniaire celui qui, sans droit, entrepose, expédie, transporte, importe, exporte des stupéfiants ou les passe en transit (let. b) et celui qui, sans droit, possède, détient ou acquiert des stupéfiants ou s'en procure de toute autre manière (let. d).</w:t>
      </w:r>
    </w:p>
    <w:p>
      <w:r>
        <w:rPr>
          <w:b/>
        </w:rPr>
        <w:t>E. 3</w:t>
      </w:r>
    </w:p>
    <w:p>
      <w:r>
        <w:t>Aux termes de l'art. 19 ch. 3 let. b LStup, le tribunal peut atténuer librement la peine dans le cas d'une infraction visée à l'art. 19 al. 2 LStup, si l'auteur est dépendant et que cette infraction aurait dû servir au financement de sa propre consommation de stupéfiants. Pour bénéficier de cette disposition, l'auteur doit être toxicodépendant et non seulement consommateur, comme c'est souvent le cas pour les trafiquants de cocaïne (Initiative parlementaire, révision partielle de la loi sur les stupéfiants, rapport de la Commission de la sécurité sociale et de la santé publique du Conseil national, FF 2006 p. 8141 ss, p. 8179 ch. 3.1.11.3 ad art. 19 al. 4 P-LStup ; arrêt du Tribunal fédéral 6B_858/2014 du 19 mai 2015 consid. 2.2 in SJ 2015 I 439 p. 400). La Commission précitée renvoie, pour distinguer consommateurs et personnes dépendantes, aux critères développés dans la classification statistique internationale des maladies et des problèmes de santé connexes établie par l'OMS (CIM-10). L'art. 19 al. 3 let. b LStup n'est en outre applicable que si le trafic de drogue de l'intéressé finance exclusivement sa propre toxicomanie (FF 2006 ibidem).</w:t>
      </w:r>
    </w:p>
    <w:p>
      <w:r>
        <w:rPr>
          <w:b/>
        </w:rPr>
        <w:t>E. 3.1.4</w:t>
      </w:r>
    </w:p>
    <w:p>
      <w:r>
        <w:t>Selon l'art. 42 al. 1 CP, le juge suspend en règle générale l'exécution d'une peine privative de liberté de six mois au moins et de deux ans au plus lorsqu'une peine ferme ne paraît pas nécessaire pour détourner l'auteur d'autres crimes ou délits. Sur le plan objectif, les peine pécuniaire, travail d'intérêt général et peine privative de liberté de six mois au moins et de deux ans au plus, peuvent être assorties du sursis total (cf.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juge doit par ailleurs motiver sa décision de manière suffisante (cf. art. 50 CP). Sa motivation doit permettre de vérifier s'il a tenu compte de tous les éléments pertinents et comment ils ont été appréciés.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consid. 2.1 p. 185 s. et les références ; 134 IV 140 consid. 4.2 p. 143 ; arrêts du Tribunal fédéral 6B_1339/2016 du 23 mars 2017 consid. 1.1.1 ; 6B_372/2016 du 22 mars 2017 consid. 4). Les conditions subjectives auxquelles l'art. 42 CP soumet l'octroi du sursis intégral s'appliquent également à l'octroi du sursis partiel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Le défaut de prise de conscience de la faute peut justifier un pronostic défavorable, car seul celui qui se repent de son acte mérite la confiance que l'on doit pouvoir accorder au condamné bénéficiant du sursis (ATF 82 IV 81 ; arrêts du Tribunal fédéral 6B_953/2017 du 28 mars 2018 consid. 5.2 ; 6B_682/2017 du 11 décembre 2017 consid. 1.1 ; 6B_186/2017 du 5 septembre 2017 consid. 3.1). Par conditions subjectives, il faut entendre notamment la condition posée à l'art. 42 al. 2 CP (ATF 134 IV 1 consid. 4.2 et 4.2.3 p. 5 ss). Il s'ensuit que l'octroi du sursis partiel est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 (arrêt du Tribunal fédéral 6B_869/2016 du 1 er juin 2017 consid. 4.2). 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p. 7 ; arrêts du Tribunal fédéral 6B_869/2016 du 1 er juin 2017 consid. 4.2 in medio ; 6B_553/2014 du 24 avril 2015 consid. 7.1, non publié in ATF 141 IV 273 ).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du 21 septembre 1998 concernant la modification du code pénal suisse, FF 1999 1856). Mais cette réserve doit être rapprochée de celle de l'ordre public (arrêts du Tribunal fédéral 6B_244/2010 du 4 juin 2010 consid. 1 ; 6S_253/2004 du 3 novembre 2004 consid. 4).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 (M. NIGGLI / H. WIPRÄCHTIGER, Basler Kommentar Strafrecht I : Art. 1-110 StGB, Jugendstrafgesetz , 2 ème éd., Bâle 2007, n. 90 ad art. 42).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(arrêts du Tribunal fédéral 6B_869/2016 du 1 er juin 2017 consid. 4.2 in fine ; 6B_510/2010 du 4 octobre 2010 consid. 1.2.2).</w:t>
      </w:r>
    </w:p>
    <w:p>
      <w:r>
        <w:rPr>
          <w:b/>
        </w:rPr>
        <w:t>E. 3.2</w:t>
      </w:r>
    </w:p>
    <w:p>
      <w:r>
        <w:t>En l'espèce, la faute du prévenu est lourde. Il a délibérément choisi de s'adonner à un trafic de cocaïne en Suisse d'une envergure non négligeable, avec importation depuis l'étranger, la quantité de drogue en cause et son taux de pureté étant de nature à mettre en danger la santé de nombreuses personnes, ce dont il n'a eu cure. Il a organisé son trafic, trouvant le moyen de se fournir en cocaïne à l'étranger et planifiant la vente de la marchandise à des tiers en Suisse après importation. La période pénale est certes courte, soit un jour, mais cela n'est dû qu'à l'interpellation du prévenu au passage de la frontière, laquelle a empêché l'écoulement de la drogue. Son mobile a été parfaitement égoïste, soit l'appât d'un gain facile et substantiel. Aucune toxicodépendance n'est établie de sorte que l'art. 19 al. 3 LStup ne trouve pas application. Sa collaboration a été mauvaise. Le prévenu n'a eu de cesse de minimiser l'étendue de son activité délictuelle, se retranchant derrière une prétendue toxicodépendance dans le but de ne pas avoir à assumer pleinement les conséquences de ses agissements. Sa situation personnelle ne permet pas d'expliquer ni d'excuser ses actes. Au contraire, il avait des revenus réguliers, des économies et un permis de séjour en Suisse. Il aurait eu ainsi tout loisir de ne pas violer la loi, ce qui rend sa décision de le faire d'autant plus répréhensible. La responsabilité du prévenu est pleine et entière. Le prévenu a deux antécédents récents et spécifiques. Sa prise de conscience n'en est qu'à un stade pré-embryonnaire. Il ne s'est jamais remis sérieusement en question, persistant à minimiser son rôle et allant même jusqu'à prétendre, au stade de l'appel, que ses condamnations de 2017 ne concernaient que de la consommation de stupéfiants. Compte tenu des éléments susmentionnés, c'est à bon droit que le TCO a retenu que le sursis - complet ou partiel - n'entrait pas ligne de compte, le pronostic étant défavorable au vu de l'absence concrète de prise de conscience du prévenu et de ses antécédents spécifiques pour lesquels il a été condamné, il y a moins de cinq ans, à des peines de plus de six mois de prison. Le fait qu'il disposera d'un emploi et d'un logement à sa sortie de prison n'est pas de nature à modifier cette appréciation. Au vu de tous ces éléments, la peine de 36 mois fermes prononcée par le TCO n'est pas critiquable, de sorte que l'appel sera intégralement rejeté.</w:t>
      </w:r>
    </w:p>
    <w:p>
      <w:r>
        <w:rPr>
          <w:b/>
        </w:rPr>
        <w:t>E. 4</w:t>
      </w:r>
    </w:p>
    <w:p>
      <w:r>
        <w:t>L'appelant, qui succombe, supportera les frais de la procédure envers l'État (art. 428 CPP).</w:t>
      </w:r>
    </w:p>
    <w:p>
      <w:r>
        <w:rPr>
          <w:b/>
        </w:rPr>
        <w:t>E. 5</w:t>
      </w:r>
    </w:p>
    <w:p>
      <w:r>
        <w:t>Considéré globalement, l'état de frais produit par M e C______, défenseur d'office de A______ satisfait les exigences légales et jurisprudentielles régissant l'assistance judiciaire gratuite en matière pénale. Il convient cependant de le compléter de 1 heure et 40 minutes (tarif avocat-stagiaire) soit la durée de l'audience et d'un montant de CHF 100.- à titre de vacation. La rémunération de M e C______ sera partant arrêtée à CHF 2'288.- correspondant à 9 heures et 25 minutes d'activité au tarif de CHF 200/heure, respectivement CHF 110/heure, plus la majoration forfaitaire de 20%, la prise en charge de la vacation et l'équivalent de la TVA au taux de 7.7% en CHF 163.-.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