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P/6577/2020 vom 15. April 2021</w:t>
      </w:r>
    </w:p>
    <w:p>
      <w:r>
        <w:t>GE Cour de justice, 2021-04-15, FR</w:t>
      </w:r>
    </w:p>
    <w:p>
      <w:r>
        <w:rPr>
          <w:b/>
        </w:rPr>
        <w:t xml:space="preserve">Quelle: </w:t>
      </w:r>
      <w:r>
        <w:t>https://mcp.opencaselaw.ch/entscheid/ge_gerichte_P_6577_2020</w:t>
      </w:r>
    </w:p>
    <w:p>
      <w:r>
        <w:t>FR: GE_GERICHTE P/6577/2020 du 15 avril 2021</w:t>
      </w:r>
    </w:p>
    <w:p>
      <w:r>
        <w:t>IT: GE_GERICHTE P/6577/2020 del 15 aprile 2021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 présomption d'innocence, dont le principe in dubio pro reo est le corollaire, est garantie expressément par les art. 6 par. 2 Convention de sauvegarde des droits de l'homme et des libertés fondamentales (CEDH) et 32 al. 1 de la Constitution fédérale,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 arrêt du Tribunal fédéral 6B_958/2010 du 17 août 2011 consid. 4.1). 2.1.2. L'art. 291 al. 1 CP punit celui qui aura contrevenu à une décision d'expulsion du territoire de la Confédération ou d'un canton prononcée par une autorité compétente. 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 et références citées).</w:t>
      </w:r>
    </w:p>
    <w:p>
      <w:r>
        <w:rPr>
          <w:b/>
        </w:rPr>
        <w:t>E. 2.2</w:t>
      </w:r>
    </w:p>
    <w:p>
      <w:r>
        <w:t>En l'espèce, l'appelant, après s'être rendu en France, a pénétré en Suisse alors qu'il savait faire l'objet d'une expulsion judiciaire entrée en force, ce qu'il ne conteste pas. L'Office des migrations zurichois lui avait imparti un délai au 30 juin 2020 pour quitter le sol helvétique ainsi que l'espace Schengen. Une fois le territoire suisse quitté, il a créé une césure dans la continuité de son séjour et ne pouvait revenir en Suisse au vu du prononcé de son expulsion pénale. L'interdiction d'entrée administrative notifiée avec effet au 1 er juillet 2020 n'y change rien, l'expulsion pénale étant quoiqu'il en soit définitivement prononcée au moment des faits. L'appelant conteste avoir agi intentionnellement. Il soutient d'une part ne pas avoir eu la volonté d'entrer en Suisse, d'autre part, avoir pensé ne pas violer la loi compte tenu de sa compréhension du délai au 30 juin 2020 qui lui avait été accordé. Or, dès sa première audition à la police, il a admis s'être rendu en France avec la dénommée " G______ " qu'il avait quittée après la frontière. Ayant fait les deux trajets en tram, il n'avait pu que constater qu'il passait la frontière, dans un sens puis dans l'autre. Ses explications fournies pour la première fois devant les premiers juges selon lesquelles il avait voulu sortir du tram avant de traverser la frontière, mais que les portes ne s'étaient pas ouvertes, paraissent de pure circonstance. D'autre part, si les différents documents qui lui ont été remis par les autorités zurichoises comportaient effectivement l'une un délai au 30 juin 2020, l'autre un début de validité au 1 er juillet 2020, l'appelant savait cependant faire l'objet d'une expulsion judiciaire, et aucun de ces documents ne lui donnait le droit de revenir en Suisse une fois le territoire national librement quitté, ce qu'il n'allègue d'ailleurs pas. Par conséquent, l'appelant sera reconnu coupable du chef d'infraction de rupture de ban et l'appel-joint du MP admis sur ce point.</w:t>
      </w:r>
    </w:p>
    <w:p>
      <w:r>
        <w:rPr>
          <w:b/>
        </w:rPr>
        <w:t>E. 3</w:t>
      </w:r>
    </w:p>
    <w:p>
      <w:r>
        <w:t>3.1.1 . L'art. 291 al. 1 CP punit d'une peine privative de liberté de trois ans au plus ou d'une peine pécuniaire. La durée de cette peine ne sera pas imputée sur celle de l'expulsion (al. 2). L'art. 19 al. 1 let. b LStup, quant à lui, punit d'une peine de liberté de trois ans au plus ou d'une peine pécuniaire. L'auteur de l'infraction est puni d'une peine privative de liberté d'un an au moins, cette sanction, pouvant être cumulée avec une peine pécuniaire, s'il sait ou ne peut ignorer que l'infraction peut directement ou indirectement mettre en danger la santé de nombreuses personnes (art. 19 al. 2 let. a LStup).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le critère de la quantité de drogue, même si elle ne joue pas un rôle prépondérant dans l'appréciation de la gravité de la faute, constitue sans conteste un élément important. Elle perd cependant de l'importance au fur et à mesure que l'on s'éloigne de la limite à partir de laquelle le cas doit être considéré comme grave au sens de l'art. 19 al. 2 let. a LStup (ATF 122 IV 299 consid. 2c; ATF 121 IV 193 consid. 2b/aa).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il faut tenir compte de la situation personnelle de l'auteur, de ses mobiles et de ses antécédents judiciaires. Il conviendra aussi de distinguer le cas de l'auteur qui est lui-même toxicomane et qui agit pour financer sa propre consommation de celui qui participe à un trafic de stupéfiants uniquement poussé par l'appât du gain (ATF 122 IV 299 consid. 2b). 3.1.3. Selon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 1).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Concrètement, le juge procède de la manière suivante : il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 p. 152 s.). 3.1.4.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3.1.5. Le juge peut suspendre partiellement l'exécution d'une peine privative de liberté d'un an au moins et de trois ans au plus afin de tenir compte de façon appropriée de la faute de l'auteur (art. 43 al. 1 CP). Un pronostic défavorable exclut le sursis partiel. S'il n'existe aucune perspective que l'auteur puisse être influencé de quelque manière que ce soit par le sursis complet ou partiel, la peine doit être entièrement exécutée (ATF 134 IV 1 consid. 5.3.1 p. 10). 3.1.6. L'art. 51 CP prévoit que le juge impute sur la peine la détention avant jugement subie par l'auteur dans le cadre de l'affaire qui vient d'être jugée ou d'une autre procédure. Un jour de détention correspond à un jour-amende.</w:t>
      </w:r>
    </w:p>
    <w:p>
      <w:r>
        <w:rPr>
          <w:b/>
        </w:rPr>
        <w:t>E. 3.2</w:t>
      </w:r>
    </w:p>
    <w:p>
      <w:r>
        <w:t>En l'espèce, la faute de l'appelant est importante, ce dernier ayant participé à un trafic de stupéfiants dont la quantité d'héroïne pure était propre à mettre en danger la santé d'un grand nombre de personnes. Il a agi en qualité de transporteur et n'a effectué qu'un seul passage. Il a toutefois traversé la frontière franco-suisse, ce qui donne une dimension internationale au trafic, et ce alors qu'il faisait l'objet d'une expulsion pénale entrée en force. Sa situation personnelle précaire et complexe, notamment en raison de la pandémie, n'excuse pas ses agissements et son mobile égoïste qui relève de l'appât du gain. Le jeune âge de l'appelant sera cependant pris en considération. Sa collaboration a d'abord été bonne, l'appelant ayant d'emblée reconnu les faits devant la police et donné les informations dont il disposait sur les personnes impliquées dans le trafic. Elle paraît moindre lorsqu'il finit par contester devant les premiers juges puis en appel avoir compris qu'il se rendait sur territoire français. L'appelant a un antécédent très récent d'infraction à la LStup, ce qui démontre l'intensité de sa volonté délictuelle et qu'il ne réalise pas la gravité de ses actes tout comme l'absence d'effet dissuasif de la première peine prononcée à son encontre. Il y a concours d'infractions. L'infraction à la LStup, la plus grave, entraîne à elle seule, une peine privative de liberté de l'ordre de 14 mois, à laquelle devrait s'ajouter, en application du principe de l'aggravation, une peine additionnelle de deux mois pour la rupture de ban (peine hypothétique quatre mois), soit au total une peine privative de liberté de 16 mois. En outre, le sursis accordé à l'appelant le 16 mars 2020 doit être révoqué, au vu du pronostic défavorable. L'appelant n'a en effet pas hésité à s'adonner à nouveau à un trafic de stupéfiants alors que sa précédente condamnation venait à peine d'entrer en force, et qu'un sursis lui avait été accordé précisément pour le dissuader de récidiver. Une peine d'ensemble, incluant la peine privative de liberté de 16 mois dont le sursis est révoqué, sera dès lors prononcée. Seule une peine de prison ferme peut être envisagée pour le détourner de commettre de nouvelles infractions et garantir la sécurité publique, le précédent sursis n'ayant pas eu cet effet. Au vu de ce qui précède, l'appelant sera condamné à une peine privative de liberté d'ensemble de 32 mois. Seront déduit de cette peine 364 jours de détention avant jugement purgés dans la présente procédure, et 203 jours de détention préventive effectués lors de sa précédente condamnation, les premiers juges ayant en effet omis à tort de prendre en compte ces derniers.</w:t>
      </w:r>
    </w:p>
    <w:p>
      <w:r>
        <w:rPr>
          <w:b/>
        </w:rPr>
        <w:t>E. 4</w:t>
      </w:r>
    </w:p>
    <w:p>
      <w:r>
        <w:t>4.1. A teneur de l'art. 66a al. 1 let. o CP, le juge expulse de Suisse l'étranger qui est condamné pour infraction à l'art. 19 al. 2 LStup, pour une durée de cinq à quinze ans. L'art. 66b al. 1 CP dispose, par ailleurs, que lorsqu'une personne contre qui une expulsion a été ordonnée commet une nouvelle infraction remplissant les conditions d'une expulsion au sens de l'art. 66a CP, une nouvelle expulsion est prononcée pour une durée de vingt ans. Contrairement au second alinéa de cet article, le premier alinéa n'est pas rédigé de manière potestative de sorte qu'il ne laisse pas de marge de manoeuvre.</w:t>
      </w:r>
    </w:p>
    <w:p>
      <w:r>
        <w:rPr>
          <w:b/>
        </w:rPr>
        <w:t>E. 4.2</w:t>
      </w:r>
    </w:p>
    <w:p>
      <w:r>
        <w:t>En l'espèce, l'infraction grave à la Lstup pour laquelle l'appelant est condamné fonde une expulsion obligatoire. D'autre part, l'appelant a, à nouveau, commis une telle infraction alors qu'il faisait déjà l'objet d'une expulsion pénale, de sorte que l'art. 66b al. 1 CP trouve application. Dès lors, les premières juges ont valablement ordonné la nouvelle expulsion obligatoire pour une durée de 20 ans. Il n'y a pas lieu d'étendre une nouvelle fois la mesure d'expulsion prononcée à l'ensemble de l'espace Schengen, une telle extension n'étant pas nécessaire pour garantir la sécurité publique.</w:t>
      </w:r>
    </w:p>
    <w:p>
      <w:r>
        <w:rPr>
          <w:b/>
        </w:rPr>
        <w:t>E. 5</w:t>
      </w:r>
    </w:p>
    <w:p>
      <w:r>
        <w:t>Les motifs ayant conduit les premiers juges à prononcer, par ordonnance séparée du 14 décembre 2020,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très largement, supportera 4/5 èmes des frais de la procédure envers l'État, lesquels comprendront un émolument de CHF 1'200.- (art. 428 CPP). Il n'y a en revanche pas lieu à modifier les frais arrêtés par les premiers juges (art. 428 al. 3 CPP).</w:t>
      </w:r>
    </w:p>
    <w:p>
      <w:r>
        <w:rPr>
          <w:b/>
        </w:rPr>
        <w:t>E. 7</w:t>
      </w:r>
    </w:p>
    <w:p>
      <w:r>
        <w:t>.1. Considéré globalement, l'état de frais produit par Me B______, défenseur d'office de l'appelant satisfait les exigences légales et jurisprudentielles régissant l'assistance judiciaire gratuite en matière pénale, à l'exception du poste relatif à l'étude du jugement et déclaration écrite d'appel, activités qui font partie du forfait prévu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Ce poste sera dès lors amputé de 1h30. La rémunération de M e B______ sera partant arrêtée à CHF 4'135.70 correspondant à 16h heures d'activité au tarif de CHF 200.-/heure plus la majoration forfaitaire de 20% et l'équivalent de la TVA au taux de 7.7% en CHF 295.70.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