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P/6529/2024 vom 22. Januar 2025</w:t>
      </w:r>
    </w:p>
    <w:p>
      <w:r>
        <w:t>GE Cour de justice, 2025-01-22, FR</w:t>
      </w:r>
    </w:p>
    <w:p>
      <w:r>
        <w:rPr>
          <w:b/>
        </w:rPr>
        <w:t xml:space="preserve">Quelle: </w:t>
      </w:r>
      <w:r>
        <w:t>https://mcp.opencaselaw.ch/entscheid/ge_gerichte_P_6529_2024</w:t>
      </w:r>
    </w:p>
    <w:p>
      <w:r>
        <w:t>FR: GE_GERICHTE P/6529/2024 du 22 janvier 2025</w:t>
      </w:r>
    </w:p>
    <w:p>
      <w:r>
        <w:t>IT: GE_GERICHTE P/6529/2024 del 22 gennaio 2025</w:t>
      </w:r>
    </w:p>
    <w:p>
      <w:pPr>
        <w:pStyle w:val="Heading2"/>
      </w:pPr>
      <w:r>
        <w:t>Regeste</w:t>
      </w:r>
    </w:p>
    <w:p>
      <w:r>
        <w:t>ORDONNANCE DE NON-ENTRÉE EN MATIÈRE;ADMINISTRATION DES PREUVES;ASSISTANCE JUDICIAIRE | CPP.310.al1.leta; CPP.147.al1; CP.307; CP.251; CPP.136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et les faits nouveaux allégués devant la juridiction de céans sont recevables, la jurisprudence admettant la production de faits et de moyens de preuve nouveaux en deuxième instance (arrêt du Tribunal fédéral 1B_550/2022 du 17 novembre 2022 consid. 2.2).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qui signifie qu'en principe une non-entrée en matière ne peut être prononcée que lorsqu'il apparaît clairement que les faits ne sont pas punissables ou que les conditions à la poursuite pénale ne sont pas remplies (ATF 146 IV 68 consid. 2.1).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3.1.2. 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 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mais aussi lorsque la dénonciation elle-même apparaît insuffisante (art. 309 al. 2 CPP; cf. arrêts du Tribunal fédéral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Le ministère public ne peut, en revanche, ordonner des mesures de contrainte ou procéder lui-même à des auditions sans ouvrir une instruction, dans la mesure où il s'agit d'actes de procédure des autorités pénales qui portent atteinte aux droits fondamentaux des personnes intéressées (art. 196 al. 1 CPP; arrêt du Tribunal fédéral 6B_431/2013 du 8 décembre 2013 consid. 2.2 et 1B_368/2012 précité). Cette règle ne concerne pas l'ordre de dépôt, qui permet à son destinataire de fournir volontairement les objets ou valeurs qui doivent être séquestrés, précisément afin d'éviter cette mesure de contrainte (art. 265 al. 4 CPP; ATF 143 IV 21 consid. 3.1; arrêts du Tribunal fédéral 1B_492/2017 du 25 avril 2018 consid. 2.1; 6B_247/2017 du 21 mars 2018). 3.1.3. Durant la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 3.2.1. En l'espèce, plusieurs compléments en rapport à la plainte sont intervenus avant que le Ministère public ne prenne la décision entreprise. Il y a d'abord eu le rapport de la police demandant au Ministère public de décerner un ordre de dépôt auprès du laboratoire médical et la réponse de ce dernier. Puis, la police a contacté le recourant afin d'obtenir la conversation enregistrée qu'elle a ensuite dû faire traduire avant de procéder à l'audition de B______ le 14 janvier 2025 (cf. art. 206 al. 1 et 2 CPP). Ces investigations n'ont pas été au-delà de ce que le Ministère public peut entreprendre avant d'ouvrir – formellement ou matériellement – une instruction. Par ailleurs, au vu de la jurisprudence rappelée ci-dessus, le fait qu'un ordre de dépôt ait été adressé au laboratoire médical ne prive pas cette autorité de la possibilité de rendre une ordonnance de non-entrée en matière, dès lors qu'il ne s'agit pas d'une mesure de contrainte. Le grief de non-respect de l'immédiateté au sens de l'art. 310 al. 1 let. a CPP sera dès lors rejeté. 3.2.2. Le recourant reproche à B______ la falsification d'un test PCR et un faux témoignage. Sur 14 pages de son recours (qui en compte 20) il relève que B______ a volontairement donné aux autorités une mauvaise image de lui et a contesté l'existence de leurs relations. Ce dernier aurait ainsi tenu des propos mensongers dans sa déclaration du 14 janvier 2025 à la police, tout comme devant la CPAR, le 7 décembre 2021, comme cela ressortirait de la conversation enregistrée et traduite au dossier. On relèvera que, devant la police, B______ a indiqué connaître le recourant depuis longtemps sans préciser la nature de leurs rapports. Il a certes mentionné ne pas connaître de membres de sa famille, ce que pourraient démentir des photographies produites à l'appui du recours. Le contexte de ces dernières n'est toutefois pas connu et pourrait résulter d'une rencontre ponctuelle. Pour le surplus, il convient d'examiner le dossier en rapport aux faits spécifiquement dénoncés. 3.2.3. Le recourant, qui a soutenu dans sa plainte que B______ avait falsifié le résultat du test virologique du 1 er avril 2021, allègue pour la première fois dans son recours que ce n'était pas le résultat du test PCR en lui-même qui aurait été falsifié mais que l'on ignorait si c'était bien son propre prélèvement qui avait été soumis à l'analyse, plutôt que celui d'un tiers. Il s'agit donc d'une hypothèse. Rien pour le surplus ne soutient au dossier que B______ aurait pu volontairement faire analyser la salive d'un tiers en lieu et place de celle du recourant. Le fait qu'un test réalisé le 6 avril 2021 ait pu donner un résultat positif, suivi le lendemain d'un résultat négatif, n'est nullement décisif, étant relevé, notamment, que l'hypothèse d'un faux positif ne peut être écartée, vu le résultat négatif des tests des 8 et 9 avril 2021. 3.2.4. Quant à l'accusation de faux témoignage, la teneur de la conversation enregistrée entre le recourant et le prévenu n'a pas le caractère qu'il veut lui prêter. En effet, il en ressort clairement que, conformément à sa déclaration à la police, B______ indique ne pas vouloir être concerné par " le problème ", qu'il a agi comme tout médecin l'aurait fait en mentionnant ce qui lui avait été rapporté et qu'au moment où le certificat avait été rédigé, il ignorait que A______ était concerné par les faits. Lorsque le recourant lui indique " tu aurais dû écrire que ce coup était ancien ", il lui répond que c'était à son avocate de dire que " c'était un coup ancien ", étant relevé qu'il précise immédiatement " même s'il est nouveau ou ancien ", ce qui, au vu des termes précités, n'implique pas la constatation de sa part d'une blessure ancienne. On ne saurait tirer, par une interprétation extensive de la réponse faite par B______ après que le recourant a fait allusion à des propos qu'aurait tenus la juge, par la réponse " oui, je l'ai dit à l'avocate ", qu'il s'agissait de confirmer qu'il lui avait préalablement dit, et surtout observé sur C______, que l'hématome constaté était ancien et ne pouvait être en rapport avec les faits qui lui avaient été rapportés, tel que mentionné à son certificat médical, confirmé devant la CPAR. 3.2.5. Au stade d'une non-entrée en matière, le Ministère public n'avait pas à auditionner le recourant, ni à l'inviter à se déterminer sur l'audition à la police de B______, étant encore relevé que toutes pièces utiles lui ont été transmises dans la cadre de la procédure de recours. Une audience de confrontation ne s'impose pas plus au vu des éléments au dossier car il y a tout lieu de penser que les parties maintiendraient leur version en audience contradictoire devant le Ministère public. L'audition du témoin D______ ne serait pas de nature à éclaircir des faits en relation avec les infractions reprochées, ce qui n'est d'ailleurs pas soutenu par le recourant.</w:t>
      </w:r>
    </w:p>
    <w:p>
      <w:r>
        <w:rPr>
          <w:b/>
        </w:rPr>
        <w:t>E. 4</w:t>
      </w:r>
    </w:p>
    <w:p>
      <w:r>
        <w:t>Il n'existe ainsi pas de soupçons suffisants permettant de considérer le comportement de B______ comme punissable, ni d'indices de la commission d'une infraction, à la lumière de ce qui précède, et c'est à bon droit que le Ministère public a décidé de ne pas entrer en matière sur les faits visés par la plainte du recourant. Justifiée, l'ordonnance querellée sera donc confirmée, le recours s'avérant mal fondé.</w:t>
      </w:r>
    </w:p>
    <w:p>
      <w:r>
        <w:rPr>
          <w:b/>
        </w:rPr>
        <w:t>E. 5</w:t>
      </w:r>
    </w:p>
    <w:p>
      <w:r>
        <w:t>Le recourant demande à être mis au bénéfice de l'assistance judiciaire pour la procédure de recours, subsidiairement à une indemnisation ex aequo bono au tarif horaire de CHF 450.-. 5.1.1. 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Lors de la procédure de recours, l'assistance judiciaire gratuite doit faire l'objet d'une nouvelle demande (al. 3). 5.1.2. Dans la mesure du possible, la partie plaignante doit chiffrer ses conclusions civiles lors de sa déclaration de partie plaignante au sens de l'art. 119 CPP, les motiver par écrit et citer les moyens de preuve à l’appui (art. 123 al. 1 CPP). Bien que le dépôt de la plainte intervienne souvent à un stade où le lésé n'est pas nécessairement en mesure d'établir l'ampleur de son préjudice – raison pour laquelle le calcul et la motivation des conclusions civiles doivent être présentés au plus tard durant les plaidoiries (art. 123 al. 2 CPP) – la partie plaignante doit toutefois, dans sa demande d'assistance judiciaire gratuite, à chaque stade de la procédure, exposer notamment en quoi son action civile ne paraît pas dépourvue de chances de succès (arrêt du Tribunal fédéral 6B_1324/2021 du 20 septembre 2022 consid. 2.2). 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w:t>
      </w:r>
    </w:p>
    <w:p>
      <w:r>
        <w:rPr>
          <w:b/>
        </w:rPr>
        <w:t>E. 5.2</w:t>
      </w:r>
    </w:p>
    <w:p>
      <w:r>
        <w:t>En l'espèce, le recourant ne démontre pas, au stade du recours, que sa plainte pénale aurait plus de chances de succès d'aboutir à une condamnation qu'à un acquittement. Ses griefs étaient manifestement dépourvus de chances de succès, de sorte que l'assistance judiciaire doit lui être refusée. Le refus de l'octroi de l'assistance juridique est rendu sans frais (art. 20 RAJ). Pour le surplus, aucune indemnisation ex aequo bono ne saurait lui être accordée, les conditions de l'art 433 CPP n'étant pas réunies.</w:t>
      </w:r>
    </w:p>
    <w:p>
      <w:r>
        <w:rPr>
          <w:b/>
        </w:rPr>
        <w:t>E. 6</w:t>
      </w:r>
    </w:p>
    <w:p>
      <w:r>
        <w:t>Le recourant succombant (art. 428 al. 1 CPP), il supportera, en conséquence, les frais de la procédure de recours, fixés en totalité à CHF 1'500.- (art. 3 cum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