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P/6457/2015 vom 7. Januar 2016</w:t>
      </w:r>
    </w:p>
    <w:p>
      <w:r>
        <w:t>GE Cour de justice, 2016-01-07, FR</w:t>
      </w:r>
    </w:p>
    <w:p>
      <w:r>
        <w:rPr>
          <w:b/>
        </w:rPr>
        <w:t xml:space="preserve">Quelle: </w:t>
      </w:r>
      <w:r>
        <w:t>https://mcp.opencaselaw.ch/entscheid/ge_gerichte_P_6457_2015</w:t>
      </w:r>
    </w:p>
    <w:p>
      <w:r>
        <w:t>FR: GE_GERICHTE P/6457/2015 du 7 janvier 2016</w:t>
      </w:r>
    </w:p>
    <w:p>
      <w:r>
        <w:t>IT: GE_GERICHTE P/6457/2015 del 7 gennaio 2016</w:t>
      </w:r>
    </w:p>
    <w:p>
      <w:pPr>
        <w:pStyle w:val="Heading2"/>
      </w:pPr>
      <w:r>
        <w:t>Regeste</w:t>
      </w:r>
    </w:p>
    <w:p>
      <w:r>
        <w:t>FIXATION DE LA PEINE; SURSIS PARTIEL À L'EXÉCUTION DE LA PEINE; SUSPENSION DE L'EXÉCUTION DE LA PEINE; INDEMNITÉ(EN GÉNÉRAL); RÉGIME DE LA DÉTENTION; ATTÉNUATION DE LA PEINE | CP.47; CEDH.3; CP.42.1; CP.42.2; CPP.135.2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Formellement, l'appelant ne conteste plus sa culpabilité pour l'ensemble des faits qui lui sont reprochés dans l'acte d'accusation. Le verdict de culpabilité sera ainsi confirmé, les conditions posées par l'art. 19 al. 2 let. a LStup étant réalisées eu égard à la jurisprudence et à la doctrine applicables à l'aggravante de la quantité de cocaïne (ATF 109 IV 143 consid. 3b p. 145 ; arrêt du Tribunal fédéral 6B_632/2008 du 10 mars 2009 consid. 2 ; B. CORBOZ, Les infractions en droit suisse , 3 e édition, Berne 2010, vol. II, n. 81 ad art. 19).</w:t>
      </w:r>
    </w:p>
    <w:p>
      <w:r>
        <w:rPr>
          <w:b/>
        </w:rPr>
        <w:t>E. 3</w:t>
      </w:r>
    </w:p>
    <w:p>
      <w:r>
        <w:t>L'appelant reproche au premier juge le prononcé d'une peine trop sévère.</w:t>
      </w:r>
    </w:p>
    <w:p>
      <w:r>
        <w:rPr>
          <w:b/>
        </w:rPr>
        <w:t>E. 3.1</w:t>
      </w:r>
    </w:p>
    <w:p>
      <w:r>
        <w:t>Selon l'art. 47 du code pénal,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 (ATF 121 IV 202 consid. 2d/aa p. 204 ; 118 IV 342 consid. 2d p. 349).</w:t>
      </w:r>
    </w:p>
    <w:p>
      <w:r>
        <w:rPr>
          <w:b/>
        </w:rPr>
        <w:t>E. 3.2</w:t>
      </w:r>
    </w:p>
    <w:p>
      <w:r>
        <w:t>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nouvelle).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3.3.1 Au niveau conventionnel, l'art. 3 CEDH prévoit que nul ne peut être soumis à la torture ni à des peines ou traitements inhumains ou dégradants. Sur le plan constitutionnel, l'art. 7 de la Constitution fédérale de la Confédération suisse du 18 avril 1999 (Cst. ; RS 101) prescrit de son côté que la dignité humaine doit être respectée et protégée. À teneur de l'art. 10 al. 3 Cst., la torture et tout autre traitement ou peine cruels, inhumains ou dégradants sont interdits. La Constitution genevoise prévoit aussi que la torture et tout autre traitement ou peine cruels, inhumains ou dégradants sont interdits (art. 18 al. 2 Cst./GE [RS 131. 234]) et que la dignité humaine est inviolable (art. 14 al. 1 Cst./GE). Sur le plan législatif, l'art. 3 al. 1 CPP rappelle le principe du respect de la dignité humaine. L'art. 234 al. 1 CPP prévoit qu'en règle générale, la détention provisoire et pour des motifs de sûreté est exécutée dans des établissements réservés à cet usage et qui ne servent qu'à l'exécution de courtes peines privatives de liberté. L'art. 235 CPP régit l'exécution de la détention ; il pose le principe général de proportionnalité (al. 1) et précise (al. 5) que les cantons règlent les droits et les obligations des prévenus en détention. 3.3.2 Lorsqu'une irrégularité constitutive d'une violation d'une garantie conventionnelle ou constitutionnelle a entaché la procédure relative à la détention provisoire, celle-ci peut être réparée par une décision de constatation (ATF 140 I 246 consid. 2.5.1 p. 250 ; 138 IV 81 consid. 2.4 p. 85). Ce n'est qu'à l'issue de la procédure qu'il y aura lieu de tirer les conséquences d'une telle constatation (cf. les art. 429 ss CPP). Il appartient à l'autorité de jugement d'examiner les possibles conséquences des violations constatées, par exemple par le biais d'une indemnisation ou, cas échéant, par une réduction de la peine, référence étant ici faite aux principes applicables en matière de violation du principe de la célérité (ATF 140 I 246 consid. 2.5.1 p. 250 ; 140 I 125 consid. 2.1 p. 128 ; 139 IV 41 consid. 3.4 p. 45 ; arrêt du Tribunal fédéral 1B_384/2014 du 17 décembre 2014 consid. 2.1). Au vu de la gravité inhérente à toute violation de l'art. 3 CEDH, un simple constat de violation par le juge du fond n'est en principe pas suffisant (ATF 140 I 246 consid. 2.5. p. 251). (…) Dans l'hypothèse d'une violation du principe de célérité, la réduction d'une peine s'opère en équité, en regard de l'ensemble des circonstances de l'espèce, sans imputation mathématique, sur celle-ci, du nombre de jours de retard concernés. Il devrait donc en aller de même dans le cas où une violation de l'art. 3 CEDH est constatée et appelle réparation. Pour déterminer le nombre de jours à indemniser, il peut être nécessaire de retrancher du nombre de jours total pendant lequel le prévenu a subi des conditions de détention dégradante une période de 90 jours environ, correspondant à la durée consécutive de trois mois retenue par le Tribunal fédéral, période en deçà de laquelle l'existence d'une violation de l'art. 3 CEDH doit être niée. Renoncer à imputer ce qui tient du délai de carence reviendrait, en effet, à créer une inégalité de traitement entre les détenus qui ont subi des conditions de détention critiquables pendant moins de trois mois et ceux pour lesquels ces mêmes conditions se sont prolongées au-delà de 90 jours, alors même que seule la période excédant trois mois est jugée illicite ( AARP/367/2015 du 31 août 2015 consid. 4.7.3.5).</w:t>
      </w:r>
    </w:p>
    <w:p>
      <w:r>
        <w:rPr>
          <w:b/>
        </w:rPr>
        <w:t>E. 3.4</w:t>
      </w:r>
    </w:p>
    <w:p>
      <w:r>
        <w:t>La faute de l'appelant, qu'il relativise en s'étonnant d'être le seul à répondre d'actes illicites, est importante. Les contrôles effectués par la police sur les personnes présentes le jour de son interpellation n'ont pas permis de retenir à leur encontre des éléments suffisamment probants. L'appelant ne saurait en tirer un argument en sa faveur, les éléments à charge le concernant étant différents selon les observations faites par la police (allers et retours dans le local) et le dossier (traces ADN). Les quantités saisies sur lesquelles est fondée sa culpabilité sont suffisantes pour que, même avec un taux de pureté relativement bas, elles entraînent l'aggravante de l'art. 19 LStup. L'appelant a reconnu les faits reprochés contraint et forcé, de sorte que sa prise de conscience est faible, pour ne pas dire inexistante. Son implication n'est pas aussi anodine qu'il le prétend, référence étant faite aux traces ADN relevées à l'intérieur de la chaussette saisie. L'appelant avait d'autres moyens de faire face à ses obligations puisqu'il bénéficiait de l'aide d'amis et qu'il pouvait compter sur un emploi lui apportant des revenus, fussent-ils limités. Sa stabilité professionnelle, avec un emploi ayant porté sur deux ou cinq ans selon la version, aurait dû l'inciter à refuser une implication dans le trafic de drogue, même s'il est probable qu'il n'y a pas joué un rôle de pointe et que la vente s'est limitée à une échelle locale. Il y a au surplus concours d'infractions, ce qui conduit à une aggravation de la peine. Au regard des considérations qui précèdent, la peine de 18 mois de privation de liberté doit être tenue pour adaptée à la gravité de la faute et aux circonstances de la commission des infractions. C'est sans compter sur la réduction de peine qu'il y a lieu d'accorder au titre de la violation de l'art. 3 CEDH dont la Chambre pénale d'appel et de révision (ci-après : CPAR) prend acte. Au regard de la modestie du dépassement de la limite de 3 mois posée par le Tribunal fédéral, il est adéquat de fixer à 15 jours la réduction à imputer sur la peine initialement fixée. Il s'ensuit que la peine sera en définitive fixée à 17 mois et 15 jours de privation de liberté. Le jugement du Tribunal de police sera modifié dans cette mesure.</w:t>
      </w:r>
    </w:p>
    <w:p>
      <w:r>
        <w:rPr>
          <w:b/>
        </w:rPr>
        <w:t>E. 4</w:t>
      </w:r>
    </w:p>
    <w:p>
      <w:r>
        <w:t>L'appelant sollicite que la peine privative de liberté sanctionnant ses actes soit assortie d'un sursis partiel.</w:t>
      </w:r>
    </w:p>
    <w:p>
      <w:r>
        <w:rPr>
          <w:b/>
        </w:rPr>
        <w:t>E. 4.1</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 arrêt du Tribunal fédéral 6B_1044/2013 du 4 mars 2014 consid. 3.1), qui doit toutefois motiver sa décision de manière suffisante (cf. art. 50 CP) afin de permettre de vérifier s'il a été tenu compte de tous les éléments pertinents et comment ils ont été appréciés (cf. ATF 134 IV 1 consid. 4.2.1 p. 5 ; arrêt du Tribunal fédéral 6B_1044/2013 du 4 mars 2014 consid. 3.1).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p. 5-6). Le pronostic doit être posé selon les mêmes critères que sous l'ancien droit.</w:t>
      </w:r>
    </w:p>
    <w:p>
      <w:r>
        <w:rPr>
          <w:b/>
        </w:rPr>
        <w:t>E. 4.2</w:t>
      </w:r>
    </w:p>
    <w:p>
      <w:r>
        <w:t>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 (ATF 134 IV 1 consid. 5.3.1 p. 10).</w:t>
      </w:r>
    </w:p>
    <w:p>
      <w:r>
        <w:rPr>
          <w:b/>
        </w:rPr>
        <w:t>E. 4.3</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destiné à la publication). [Ce] qui est déterminant, c'est que l'auteur ait commis une infraction d'une certaine gravité, et non plus – comme sous l'ancien droit – qu'il ait purgé une peine privative de liberté d'une certaine longueur (arrêt du Tribunal fédéral 6B_812/2009 du 18 février 2010 consid. 2.1). Lorsque l'hypothèse visée par l'art. 42 al. 2 CP est réalisée, un sursis partiel au sens de l'art. 43 CP est exclu (arrêt du Tribunal fédéral 6B_352/2014 précité).</w:t>
      </w:r>
    </w:p>
    <w:p>
      <w:r>
        <w:rPr>
          <w:b/>
        </w:rPr>
        <w:t>E. 4.4</w:t>
      </w:r>
    </w:p>
    <w:p>
      <w:r>
        <w:t>Le sursis, au-delà des conditions objective et subjective autorisant son octroi, dépend en l'espèce de l'existence de circonstances particulièrement favorables, dès lors que figure au casier judiciaire de l'appelant une condamnation à 180 jours-amende. Sa situation illégale en Suisse n'incite pas à répondre favorablement à la clause d'exception que prévoit l'art. 42 al. 2 CP. L'appelant aurait largement eu le temps de mettre à exécution son projet et ne cache d'ailleurs pas qu'un retour en Espagne ne serait que la conséquence d'une impossibilité de faire autrement. On ne décèle pas dans la prise de position de l'appelant une volonté caractérisée de modifier son comportement. Rien dans les considérations émises durant l'instruction et encore en appel ne permet de conclure à un changement notable de sa situation et à l'existence d'un pronostic favorable, dans les limites de ce que son statut autorise. L'appelant ne peut ainsi se prévaloir de circonstances particulièrement favorables qui autoriseraient la CPAR à faire exception à la règle posée à l'art. 42 al. 1 CP ab initio. Le sursis est en conséquence exclu, ce qui conduit à confirmer le jugement du Tribunal de police sur ce point.</w:t>
      </w:r>
    </w:p>
    <w:p>
      <w:r>
        <w:rPr>
          <w:b/>
        </w:rPr>
        <w:t>E. 5</w:t>
      </w:r>
    </w:p>
    <w:p>
      <w:r>
        <w:t>L'appelant, qui succombe très largement, supportera les frais de la procédure envers l'État à raison de 4/5 ème (art. 428 CPP), le solde étant laissé à la charge de l'État.</w:t>
      </w:r>
    </w:p>
    <w:p>
      <w:r>
        <w:rPr>
          <w:b/>
        </w:rPr>
        <w:t>E. 6</w:t>
      </w:r>
    </w:p>
    <w:p>
      <w:r>
        <w:t>. 6.1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le chef d'étude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La majoration forfaitaire couvre les démarches diverses, telle la lecture de communications, pièces et décisions, sous réserve d'exceptions possibles, pour des documents particulièrement volumineux ou nécessitant un examen poussé, charge à l'avocat d'en justifier. Les communications et courriers divers sont en principe inclus dans le forfait,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6.3</w:t>
      </w:r>
    </w:p>
    <w:p>
      <w:r>
        <w:t>En l'occurrence seront retranchés de la note de frais du conseil de l'appelant les 45 minutes du poste "procédure", rien dans les deux actes mentionnés ne justifiant un examen ou une recherche particulièrement poussés. En conclusion, l'indemnité sera arrêtée à CHF 2'280.- correspondant à 9h30 heures d'activité au tarif de CHF 200.-/heure, plus la majoration forfaitaire de 20%, mais sans la TVA à laquelle le conseil de l'appelant ne prétend pas être assujetti.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