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P/6453/2016 vom 9. November 2016</w:t>
      </w:r>
    </w:p>
    <w:p>
      <w:r>
        <w:t>GE Cour de justice, 2016-11-09, FR</w:t>
      </w:r>
    </w:p>
    <w:p>
      <w:r>
        <w:rPr>
          <w:b/>
        </w:rPr>
        <w:t xml:space="preserve">Quelle: </w:t>
      </w:r>
      <w:r>
        <w:t>https://mcp.opencaselaw.ch/entscheid/ge_gerichte_P_6453_2016</w:t>
      </w:r>
    </w:p>
    <w:p>
      <w:r>
        <w:t>FR: GE_GERICHTE P/6453/2016 du 9 novembre 2016</w:t>
      </w:r>
    </w:p>
    <w:p>
      <w:r>
        <w:t>IT: GE_GERICHTE P/6453/2016 del 9 novembre 2016</w:t>
      </w:r>
    </w:p>
    <w:p>
      <w:pPr>
        <w:pStyle w:val="Heading2"/>
      </w:pPr>
      <w:r>
        <w:t>Regeste</w:t>
      </w:r>
    </w:p>
    <w:p>
      <w:r>
        <w:t>DÉTENTION DE STUPÉFIANTS ; TRANSPORT DE STUPÉFIANTS ; ENTRÉE DANS UN PAYS ; PASSEUR ; DÉTRESSE | LStup.19.1.2 LEtr.115.1 A CP.47 CP.49</w:t>
      </w:r>
    </w:p>
    <w:p>
      <w:pPr>
        <w:pStyle w:val="Heading2"/>
      </w:pPr>
      <w:r>
        <w:t>Erwägungen</w:t>
      </w:r>
    </w:p>
    <w:p>
      <w:r>
        <w:rPr>
          <w:b/>
        </w:rPr>
        <w:t>E. 1</w:t>
      </w:r>
    </w:p>
    <w:p>
      <w:r>
        <w:t>L'appel est recevable pour avoir été interjeté et motivé selon la forme et dans les délais prescrits (art. 398 et 399 CPP). La partie qui attaque seulement certaines parties du jugement est tenue d'indiquer dans la déclaration d'appel, de manière définitive, sur quelles parties porte l'appel (art. 399 al. 4 CPP), à savoir notamment la quotité de la peine (let. b) et les frais, les indemnités et la réparation du tort moral (let. f). La Chambre limite son examen aux violations décrites dans l'acte d'appel (art. 404 al. 1 CPP), sauf en cas de décisions illégales ou inéquitables (art. 404 al. 2 CPP).</w:t>
      </w:r>
    </w:p>
    <w:p>
      <w:r>
        <w:rPr>
          <w:b/>
        </w:rPr>
        <w:t>E. 2.1</w:t>
      </w:r>
    </w:p>
    <w:p>
      <w:r>
        <w:t>.1. L'infraction grave à la loi fédérale sur les stupéfiants (art. 19 al. 2 LStup) est réprimée d'une peine privative de liberté d'un an au moins, cette sanction pouvant être cumulée avec une peine pécuniaire. L'infraction à l'art. 115 al. 1 let. a LEtr est quant à elle punit d'une peine privative de liberté d'un an au plus ou d'une peine pécuniaire.</w:t>
      </w:r>
    </w:p>
    <w:p>
      <w:r>
        <w:rPr>
          <w:b/>
        </w:rPr>
        <w:t>E. 2.1.2</w:t>
      </w:r>
    </w:p>
    <w:p>
      <w:r>
        <w:t>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de l'auteur doit être évaluée en fonction de tous les éléments objectifs pertinents qui ont trait à l'acte lui-même, à savoir notamment la gravité de la lésion, le caractère répréhensible de l'acte et son mode d'exécution ( objektive Tatkomponente ). Du point de vue subjectif, sont pris en compte l'intensité de la volonté délictuelle ainsi que les motivations et les buts de l'auteur ( subjektive Tatkomponente ). A ces composantes de la culpabilité, il faut ajouter les facteurs liés à l'auteur lui-même ( Täterkomponente ), à savoir les antécédents (judiciaires et non judiciaires), la réputation, la situation personnelle (état de santé, âge, obligations familiales, situation professionnelle, risque de récidive, etc.), la vulnérabilité face à la peine, de même que le comportement après l'acte et au cours de la procédure pénale (ATF 134 IV 17 consid. 2.1 p. 19 ss ; 129 IV 6 consid. 6.1 p. 20 ss ; arrêt du Tribunal fédéral 6B_660/2013 du 19 novembre 2013 consid. 2.2). Le juge pourra atténuer la peine en raison de l'aveu ou de la bonne coopération de l'auteur de l'infraction avec les autorités policières ou judiciaires (ATF 121 IV 202 consid. 2d/aa p. 204 ; 118 IV 342 consid. 2d p. 349).</w:t>
      </w:r>
    </w:p>
    <w:p>
      <w:r>
        <w:rPr>
          <w:b/>
        </w:rPr>
        <w:t>E. 2.1.3</w:t>
      </w:r>
    </w:p>
    <w:p>
      <w:r>
        <w:t>En matière de trafic de stupéfiants, il y a lieu de tenir compte, plus spécialement, des circonstances suivantes (arrêt du Tribunal fédéral 6B_843/2014 du 7 avril 2015 consid. 1.1.1 ; voir aussi arrêts du Tribunal fédéral 6B_408/2008 du 14 juillet 2008 consid. 4.2 et 6B_297/2008 du 19 juin 2008 consid. 5.1.2 rendus sous l'ancien droit mais qui restent applicables à la novelle). Même si la quantité de la drogue ne joue pas un rôle prépondérant, elle constitue sans conteste un élément important. Elle perd cependant de l'importance au fur et à mesure que l'on s'éloigne de la limite à partir de laquelle le cas doit être considéré comme grave au sens de l'art. 19 al. 2 let. a LStup (arrêt du Tribunal fédéral 6B_843/2014 du 7 avril 2015 consid. 1.1.1 et les références citées). Le type de drogue et sa pureté doivent aussi être pris en considération (ATF 122 IV 299 consid. 2c p. 301 ; 121 IV 193 consid. 2b/aa p. 196). Le type et la nature du trafic en cause sont également déterminants. L'appréciation est différente selon que l'auteur a agi de manière autonome ou comme membre d'une organisation. Dans ce dernier cas, il importera de déterminer la nature de sa participation et sa position au sein de l'organisation : un simple passeur sera ainsi moins coupable que celui qui joue un rôle décisif dans la mise sur pied des opérations et qui participe de manière importante au bénéfice illicite (Arrêt 6B_908/2008 du 5 février 2009 ; ATF 121 IV 202 consid. 2d/cc p. 206). L'étendue du trafic entrera également en considération. Un trafic purement local sera en règle générale considéré comme moins grave qu'un trafic avec des ramifications internationales. Enfin, le nombre d'opérations constitue un indice pour mesurer l'intensité du comportement délictueux. S'agissant d'apprécier les mobiles qui ont poussé l'auteur à agir, le juge doit distinguer le cas de celui qui est lui-même toxicomane et agit pour financer sa propre consommation de celui qui participe à un trafic uniquement poussé par l'appât du gain (arrêts du Tribunal fédéral 6B_843/2014 du 7 avril 2015 consid. 1.1.1 et 6B_107/2013 du 15 mai 2013 consid. 2.1.1).</w:t>
      </w:r>
    </w:p>
    <w:p>
      <w:r>
        <w:rPr>
          <w:b/>
        </w:rPr>
        <w:t>E. 2.1.4</w:t>
      </w:r>
    </w:p>
    <w:p>
      <w:r>
        <w:t>Bien que la récidive ne constitue plus un motif d'aggravation obligatoire de la peine (art. 67 aCP), les antécédents continuent de jouer un rôle très important dans la fixation de celle-ci (M. NIGGLI / H. WIPRÄCHTIGER, Basler Kommentar Strafrecht I : Art. 1-110 StGB, Jugendstrafgesetz , 2e éd., Bâle 2007, n. 100 ad art. 47 CP). En général, la culpabilité de l'auteur est amplifiée du fait qu'il n'a pas tenu compte de l'avertissement constitué par la précédente condamnation, et sa rechute témoigne d'une énergie criminelle accrue (R. ROTH / L. MOREILLON (éds), Code pénal I : art. 1-100 CP , Bâle 2009, n. 55 ad art. 47 CP). Une série d'infractions semblables pèse plus lourd que des actes de nature différente. En outre, les condamnations passées perdent de leur importance avec l'écoulement du temps. Les condamnations qui ont été éliminées du casier judiciaire ne peuvent plus être utilisées pour l'appréciation de la peine ou l'octroi du sursis dans le cadre d'une nouvelle procédure pénale (ATF 135 IV 87 consid. 2 p. 89 ; Arrêt 6B_494/2011 du 4 octobre 2011). Les antécédents judiciaires ne sauraient toutefois conduire à une augmentation massive de la peine, parce que cela reviendrait à condamner une deuxième fois pour des actes déjà jugés (ATF 120 IV 136 consid. 3b p. 145).</w:t>
      </w:r>
    </w:p>
    <w:p>
      <w:r>
        <w:rPr>
          <w:b/>
        </w:rPr>
        <w:t>E. 2.1.5</w:t>
      </w:r>
    </w:p>
    <w:p>
      <w:r>
        <w:t>D'après l'art. 49 al. 1 CP, si, en raison d'un ou de plusieurs actes, l'auteur remplit les conditions de plusieurs peines de même genre, le juge le condamne à la peine de l'infraction la plus grave et l'augmente dans une juste proportion.</w:t>
      </w:r>
    </w:p>
    <w:p>
      <w:r>
        <w:rPr>
          <w:b/>
        </w:rPr>
        <w:t>E. 2.2</w:t>
      </w:r>
    </w:p>
    <w:p>
      <w:r>
        <w:t>En l'espèce, la faute de l'appelante est sérieuse. Elle est impliquée dans un trafic de cocaïne à ramification internationale, endossant il est vrai un rôle de simple passeur. Quel que fût le degré de pureté, elle a, selon ses propres dires, imaginé transporter une quantité importante de drogue, compte tenu du montant qui lui était promis. Elle a fait un long voyage depuis l'Espagne, sans jamais renoncer, ce qui démontre une volonté délictuelle affirmée. Le mobile, égoïste, était celui d'un gain le plus rapide possible. L’appelante a tendance à ne pas assumer la pleine responsabilité de son acte, se présentant comme une victime des circonstances, de sorte qu’elle doit encore travailler sur le chemin de la prise de conscience. Sa collaboration peut être qualifiée de bonne, compte tenu des renseignements donnés sur son fournisseur, sans être extraordinaire. Il y a concours d'infractions entre les art. 19 LStup et 115 LEtr. Elle souffrait certes d'une situation personnelle difficile, sans que cela ne justifie le recours à des actes de cette nature. Elle était d'ailleurs bien placée pour le savoir, eu égard à ses antécédents. Les premiers juges pouvaient tenir compte d'une condamnation radiée de son casier judiciaire - gardant à l'esprit qu'elle était partant ancienne - pour apprécier sa personnalité et sa sensibilité à la sanction. Elle a fait preuve de désinvolture face à la législation sur le statut des étrangers et à la mesure qui la frappe pour séjour illégal, en revenant à deux reprises sur le territoire helvétique. Aucune des circonstances atténuantes prévues par l'art. 48 CP n'est réalisée ni d'ailleurs plaidée, notamment pas celle de la détresse profonde, étant rappelé que cette circonstance est réalisée lorsque l'auteur est poussé à transgresser la loi pénale par une situation proche de l'état de nécessité (arrêt du Tribunal fédéral 6B-13/2009 du 9 février 2009 consid. 4.1. avec référence à l'ATF 110 IV 9 consid. 2 p. 10). Compte tenu du bien juridique lésé par la LStup, soit la santé publique, ce n'est qu'en présence de circonstances tout à fait exceptionnelles que les difficultés financières rencontrées par un auteur peuvent être prises en considération (arrêt du Tribunal fédéral 6S.496/2006 du 19 juin 2007 consid. 3 in fine ). En l'occurrence, l'urgence vitale de la situation du fils de l'appelante, quel que soit son âge réel, n'est démontrée par aucune pièce, l'attestation produite ne faisant état que de sa séropositivité. D'ailleurs, il ne semble pas avoir subi une dégradation de son état de santé malgré l'incapacité de sa mère de l'aider, vu son arrestation. L'appelante ne réunit pas les conditions permettant d'obtenir le sursis, fût-il partiel, ce qu'elle ne soutient au demeurant plus en audience d'appel, de sorte que seule une peine privative de liberté ferme entre en considération. Pour tous ces motifs, la peine privative de liberté de trois ans prononcée en première instance est adéquate et sera confirmée.</w:t>
      </w:r>
    </w:p>
    <w:p>
      <w:r>
        <w:rPr>
          <w:b/>
        </w:rPr>
        <w:t>E. 3</w:t>
      </w:r>
    </w:p>
    <w:p>
      <w:r>
        <w:t>Les motifs ayant conduit les premiers juges à prononcer, par ordonnance séparée du 6 juillet 2016, le maintien de l'appelante, en détention pour des motifs de sûreté sont toujours d'actualité, ce que celle-ci ne conteste au demeurant pas, de sorte que la mesure sera reconduite mutatis mutandis (ATF 139 IV 277 consid. 2.2 à 2.3).</w:t>
      </w:r>
    </w:p>
    <w:p>
      <w:r>
        <w:rPr>
          <w:b/>
        </w:rPr>
        <w:t>E. 4</w:t>
      </w:r>
    </w:p>
    <w:p>
      <w:r>
        <w:t>L'appelante, qui succombe, supportera les frais de la procédure envers l'Etat, qui comprennent un émolument de jugement de CHF 1'500.- (art. 428 al. 1 CPP et art. 14 al. 1 let. e du Règlement fixant le tarif des frais en matière pénale [RTFMP ; E 4 10.03]).</w:t>
      </w:r>
    </w:p>
    <w:p>
      <w:r>
        <w:rPr>
          <w:b/>
        </w:rPr>
        <w:t>E. 5</w:t>
      </w:r>
    </w:p>
    <w:p>
      <w:r>
        <w:t>5.1. Les frais imputables à la défense d'office ou à l'assistance juridique gratuite pour la partie plaignante sont des débours (art. 422 al. 2 let. a CPP) qui constituent des frais de procédure (art. 422 al. 1 CPP) et doivent, conformément à l'art. 421 al. 1 CPP, être fixés par l'autorité pénale dans la décision finale au plus tard (ATF 139 IV 199 consid. 5.1 p. 201-202). La juridiction d'appel est partant compétente, au sens de l'art. 135 al. 2 CPP, pour statuer sur l'activité postérieure à sa saisine. 5.2.1. Selon l'art. 135 al. 1 CPP, le défenseur d'office est indemnisé conformément au tarif des avocats de la Confédération ou du canton du for du procès. S'agissant d'une affaire soumise à la juridiction cantonale genevoise, l'art. 16 du règlement sur l'assistance juridique du 28 juillet 2010 (RAJ ; E 2 05.04) s'applique. Cette dernière disposition prescrit que l'indemnité, en matière pénale, est calculée selon le tarif horaire suivant, débours de l'étude inclus : avocat stagiaire CHF 65.- (let. a) ; chef d'étude CHF 200.- (let. c). 5.2.2. À teneur de la jurisprudence, est décisif pour fixer la rémunération de l'avocat, le nombre d'heures nécessaires pour assurer la défense d'office du prévenu (arrêt du Tribunal fédéral 2C_509/2007 du 19 novembre 2007 consid. 4). Pour fixer cette indemnité, l'autorité doit notamment tenir compte de la nature et de l'importance de la cause, des difficultés particulières que celle-ci peut présenter en fait et en droit, du temps que l'avocat lui a consacré, de la qualité de son travail, du nombre des conférences, audiences et instances auxquelles il a pris part (arrêt du Tribunal fédéral 6B_810/2010 du 25 mai 2011 consid. 2 et les références citées). 5.2.3. Dans le cas des prévenus en détention provisoire, le temps considéré admissible pour les visites dans les établissements du canton est d'une heure pour les avocats-stagiaires, ce qui comprend le temps de déplacement ( AARP/235/2015 du 18 mai 2015 ; AARP/480/2014 du 29 octobre 2014). 5.2.4. Reprenant l'activité de taxation suite à l'entrée en vigueur du CPP, la CPAR a maintenu dans son principe – nonobstant l'ordonnance de la Cour des plaintes du Tribunal pénal fédéral BB.2015.35 du 3 août 2015 consid. 5.3 – l'ancienne pratique selon laquelle l'activité consacrée aux conférences, audiences et autres actes de la procédure était forfaitairement majorée de 20% jusqu'à 30 heures de travail décomptées depuis l'ouverture de la procédure, 10% lorsque l'état de frais porte sur plus de 30 heures, pour couvrir les démarches diverses, telles la rédaction de courriers ou notes, les entretiens téléphoniques et la lecture de communications, pièces et décisions. 5.2.5. Le temps de déplacement de l'avocat est considéré comme nécessaire pour la défense d'office (décision de la Cour des plaintes du Tribunal pénal fédéral BB.2015.33 du 28 juillet 2015 consid. 4.3 et les références citées). L'allocation d'un montant forfaitaire par vacation (aller/retour) est admissible (décision de la Cour des plaintes du Tribunal pénal fédéral BB.2013.182 du 16 avril 2014 consid. 3.2.1). A Genève, la rémunération forfaitaire de la vacation aller/retour (soit 30 minutes au total) au et du Palais de justice est arrêtée à CHF 20.- pour les avocats stagiaires ( AARP/412/2016 du 17 octobre 2016 consid. 5.2.4.)</w:t>
      </w:r>
    </w:p>
    <w:p>
      <w:r>
        <w:rPr>
          <w:b/>
        </w:rPr>
        <w:t>E. 5.3</w:t>
      </w:r>
    </w:p>
    <w:p>
      <w:r>
        <w:t>En l'occurrence, l'état de frais présenté fait mention de deux rendez-vous de 90 minutes à Champ-Dollon pour l'avocate-stagiaire. Ils seront réduits à une heure chacun selon le tarif applicable, déplacement inclus. La vacation au Palais de justice pour l'audience d'appel sera arrêtée forfaitairement à CHF 20.-.</w:t>
      </w:r>
    </w:p>
    <w:p>
      <w:r>
        <w:rPr>
          <w:b/>
        </w:rPr>
        <w:t>E. 5.4</w:t>
      </w:r>
    </w:p>
    <w:p>
      <w:r>
        <w:t>L'indemnité sera fixée à CHF 1'303.- correspondant à 12 heures d'activité au tarif applicable aux avocats-stagiaires plus vacation à CHF 20.-, une heure et demie au tarif de chef d'étude, majoration forfaitaire de 10% et l'équivalent de la TVA au taux de 8% en CHF 95.- inclus.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