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P/6451/2011 vom 17. September 2012</w:t>
      </w:r>
    </w:p>
    <w:p>
      <w:r>
        <w:t>GE Cour de justice, 2012-09-17, FR</w:t>
      </w:r>
    </w:p>
    <w:p>
      <w:r>
        <w:rPr>
          <w:b/>
        </w:rPr>
        <w:t xml:space="preserve">Quelle: </w:t>
      </w:r>
      <w:r>
        <w:t>https://mcp.opencaselaw.ch/entscheid/ge_gerichte_P_6451_2011</w:t>
      </w:r>
    </w:p>
    <w:p>
      <w:r>
        <w:t>FR: GE_GERICHTE P/6451/2011 du 17 septembre 2012</w:t>
      </w:r>
    </w:p>
    <w:p>
      <w:r>
        <w:t>IT: GE_GERICHTE P/6451/2011 del 17 settembre 2012</w:t>
      </w:r>
    </w:p>
    <w:p>
      <w:pPr>
        <w:pStyle w:val="Heading2"/>
      </w:pPr>
      <w:r>
        <w:t>Regeste</w:t>
      </w:r>
    </w:p>
    <w:p>
      <w:r>
        <w:t>; LOI FÉDÉRALE SUR LES STUPÉFIANTS ET LES SUBSTANCES PSYCHOTROPES ; RECEL ; SURSIS PARTIEL À L'EXÉCUTION DE LA PEINE | LStup.19.1; LStup.19.2; CP.160; CP.43; CP.46.1; CPP.389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Il n'y a pas lieu d'administrer des preuves sur des faits non pertinents, notoires, connus de l'autorité pénale ou déjà suffisamment prouvés (art. 139 al. 2 CPP). S’agissant plus particulièrement du stade de l’appel, en vertu de l'art. 389 CPP, la procédure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 La partie qui souhaite que des preuves complémentaires soient administrées doit en formuler la requête dans sa déclaration d’appel (art. 39l al. 3 let. c CPP) ; elle peut encore le faire ultérieurement, notamment à l’ouverture des débats d’appel, au titre de question préjudicielle (art. 405 al. 1 et 339 CPP) mais doit alors justifier du motif pour lequel elle n’a pu formuler la réquisition de preuve avec la déclaration d’appel. La loi n’exige pas qu’une réquisition de preuves soit motivée mais la partie qui ne le fait pas s’expose au risque qu’elle soit rejetée, l’autorité d’appel ne voyant pas en quoi l’administration se justifierait (A. DONATSCH / T. HANSJAKOB / V. LIEBER (éds), Kommentar zur Schweizerischen Strafprozessordnung (StPO ), Zurich 2010, n. 13 ad art. 399).</w:t>
      </w:r>
    </w:p>
    <w:p>
      <w:r>
        <w:rPr>
          <w:b/>
        </w:rPr>
        <w:t>E. 2.2</w:t>
      </w:r>
    </w:p>
    <w:p>
      <w:r>
        <w:t>L’appelant n’a pas indiqué quel fait pertinent pourrait être établi grâce aux photographies de sa fillette et la Cour n’en voit pas. Il n’y a donc pas lieu de les verser au dossier. La réquisition d’être admis à produire la promesse d’embauche datée du 24 juillet 2012 doit être reçue dans la mesure où ce document, établi postérieurement à la déclaration d‘appel, tend à établir la situation personnelle de l’appelant. Celui-ci a indiqué à l’audience que son épouse n’avait pu obtenir que la veille une copie de la facture établissant l’achat d’un Iphone le 26 mars 2011. La production de cette pièce qui démontre son droit sur l’appareil dont il requiert la restitution sera dès lors également admise.</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3.2</w:t>
      </w:r>
    </w:p>
    <w:p>
      <w:r>
        <w:t>La Chambre pénale des recours a déjà jugé à plusieurs reprises que les dispositions du CPP sur la défense obligatoire ne s’appliquaient pas au stade de l’audition par la police (ACPR 156/2012 du 19 avril 2012 consid. 3; ACPR/314/2011 du 2 novembre 2011 consid. 3. 1 ; ACPR/331/2012 du 16 août 2012 consid. 3). En effet, l'art. 131 al. 1 CPP indique que c'est à la « direction de la procédure »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(let. a), l'autorité pénale compétente en matière de contravention, s'agissant d'une procédure de répression des contraventions (let. b), le président du tribunal, s'agissant d'une procédure devant un tribunal collégial (let. c) et le juge, s'agissant d'une procédure devant un juge unique (let. d). En outre, l'art. 131 al. 2 CPP prévoit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Bâle 2011 , n. 7 ad art. 131). Au demeurant, la proposition qui avait été faite au Conseil national de prévoir, au cas où les conditions en seraient remplies, une défense obligatoire avant la première audition par le ministère public, avait été rejetée (cf. N. SCHMID, Handbuch des schweizerischen Strafprozessrechts , Zurich/St-Gall, 2009, N 737 n. 200),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avant-projets de code de procédure pénale suisse et de la loi fédérale régissant la procédure pénale applicable aux mineurs, Berne, février 2003 p. 41). 3.3.1 Comme retenu par les premiers juges, la cause est régie par l’ancienne teneur de la LStup, les faits s’étant déroulés avant la modification entrée en vigueur le 1 er juillet 2011 et le nouveau droit n’étant pas plus favorable au prévenu (art. 2 al. 2 et 333 al. 1 CP). 3.3.2 L'art. 19 ch. 1 aLStup punit d'une peine privative de liberté de trois ans au plus ou d'une peine pécuniaire celui qui, sans droit, offre, distribue, vend, fait le courtage, procure, prescrit, met dans le commerce ou cède, possède, détient, achète ou acquiert d'une autre manière des stupéfiants. Dans les cas graves, la peine est d'un an au moins et peut être cumulée avec une peine pécuniaire. Le cas est grave lorsque l'auteur sait ou ne peut ignorer que l'infraction porte sur une quantité de stupéfiants qui peut mettre en danger la santé de nombreuses personnes (art. 19 ch. 2 lit. a aLStup). La quantité en question concerne toutefois uniquement la drogue pure (ATF 6B_362/2008 du 14 juillet 2008, cons. 3.3.2; ATF 120 IV 334 , cons. 2b). Il en découle que la pureté de la drogue doit, chaque fois que cela est possible, être déterminée par les autorités de poursuite par le biais d'une expertise appropriée. S'agissant de la cocaïne, la jurisprudence retient qu'il y a cas grave lorsque le trafic porte sur 18 g de drogue pure (ATF 122 IV 363 , consid. 2a, 120 IV 338 , consid. 2a). 3.4.1 En l’espèce, le dossier contient suffisamment d’éléments pour retenir que l’appelant était parfaitement conscient que la drogue saisie à son domicile était de la cocaïne. La version du sac subtilisé à un revendeur de haschich est totalement invraisemblable. S’il est relativement fréquent que des revendeurs de drogue dissimulent dans des parcs ou d’autres lieux facilement accessibles leur marchandise pour éviter d’être interpellés en possession de celle-ci, il s’agit-là de la drogue destinée à être vendue immédiatement, conditionnée à cet effet, et son ou ses propriétaire(s) reste(nt) à proximité. L’appelant a commencé par déclarer qu’il avait dérobé le sac en l’arrachant pour ensuite changer de version et, contrairement à ce qu’il prétend, cette contradiction peut lui être opposée, dès lors que selon la jurisprudence précitée, il a valablement renoncé à l’assistance d’un avocat lors de son interrogatoire de police. En outre, il a élaboré ses dires au fur et à mesure de ses auditions par le Ministère public, se contentant dans un premier temps d’affirmer qu’il avait volé le sac au vendeur africain en le déterrant puis qu’il avait précédé l’individu à sa cachette et l’avait épié, sans expliquer comment il connaissait l’endroit, ni pourquoi il avait l’intention de récupérer de la marijuana et de l’argent. Il n’est pas plus plausible que l’appelant, qui admet avoir ouvert le sac, et connaît bien tant la cocaïne que le haschich, ait pu confondre entre les deux substances. A cela s’ajoute le manque de crédibilité général de l’appelant, qui a enchainé les déclarations contradictoires, erronées ou incomplètes tout au long de la procédure, telles celles sur son déplacement en Hollande ou sur la provenance des objets qu’il reconnaît désormais avoir recelés. S’agissant précisément de ce voyage, les nombreuses variations et incohérences dans le récit de l’appelant conduisent à retenir comme hautement vraisemblable qu’il se soit déplacé aux Pays-Bas pour y chercher la cocaïne retrouvée à son domicile. Le fait que des caches aient été aménagées dans la voiture utilisée par l’appelant et que celle-ci ait provoqué une réaction positive au test IOSCAN ainsi que d’un chien policer sont des éléments supplémentaires, dûment établis par le rapport de police du 17 juin 2011. Outre la coïncidence temporelle entre le prétendu vol au dealer africain et le déplacement en Hollande, on ne voit pas pour quel motif l’appelant ressentirait le besoin de taire ce périple si l’objet en était indifférent à l’issue de la procédure. La maxime d’accusation n’interdit nullement de prendre ce fait en compte, même s’il n’est pas décrit dans l’acte d’accusation, s’agissant non pas de retenir un chef de culpabilité supplémentaire mais d’un indice à charge pour l’un des chefs dûment décrit dans ledit acte. 3.4.2.1 En ce qui concerne les ventes de cocaïne et de haschisch, les premiers juges ont retenu des déclarations des acheteurs la version la plus favorable à l’appelant du point de vue des quantités. Contrairement à ce que soutient celui-ci, leurs déclarations sont crédibles. Elles sont précises et se rejoignent sur plusieurs points. Ainsi, tant E______ que G______ ont évoqué une ou des relations intimes de la seconde avec l’appelant alors que celui-ci le conteste ; E______ et D______ ont rapporté que l’appelant se vantait de ne pas vendre de la cocaïne en petites quantités et d’avoir une clientèle importante ; E______, G______ et D______ ont tous trois décrits des soirées au domicile de ce dernier lors desquelles la drogue circulait et auxquelles l’appelant était parfois présent, pour remettre la cocaïne au maître de maison ; les quatre consommateurs identifiés connaissaient l’appelant sous son surnom de Sofiane. Quant à F______, la pression policière dont elle dit avoir été l’objet relève uniquement du rappel des droits de la personne entendue ou de mises en garde parfaitement acceptables, sans préjudice de ce que le témoin ne subissait plus aucune influence prétendument excessive dans le cabinet du Procureur. Certes, il y a des variations dans les récits, mais rien qui remette en cause la crédibilité des témoins ou de leurs dires s’agissant des quantités en cause. En particulier, rien ne permet de supposer que D______ aurait voulu mensongèrement charger l’appelant pour détourner les soupçons d’une activité prétendument illicite qu’il aurait lui-même eue dès lors que ses dires sont corroborés par ceux de E______ et G______ et qu’on ne voit pas en quoi la mise en cause de l’appelant exclurait une éventuelle activité de revendeur de D______. Pour sa part, comme déjà relevé, l’appelant ne jouit d’aucune crédibilité de sorte qu’il n’y a aucune raison de préférer ses déclarations à celles de ses clients.</w:t>
      </w:r>
    </w:p>
    <w:p>
      <w:r>
        <w:rPr>
          <w:b/>
        </w:rPr>
        <w:t>E. 3.5</w:t>
      </w:r>
    </w:p>
    <w:p>
      <w:r>
        <w:t>En conclusion, le jugement entrepris doit être entièrement confirmé s’agissant des chefs de culpabilité retenus.</w:t>
      </w:r>
    </w:p>
    <w:p>
      <w:r>
        <w:rPr>
          <w:b/>
        </w:rPr>
        <w:t>E. 4</w:t>
      </w:r>
    </w:p>
    <w:p>
      <w:r>
        <w:t>4.1.1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4.1.3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arrêts du Tribunal fédéral 6B_646/2008 du 23 avril 2009 consid. 4.3.2 et 6B_708/2008 du 22 octobre 2008 consid. 3.2 et les références citées).</w:t>
      </w:r>
    </w:p>
    <w:p>
      <w:r>
        <w:rPr>
          <w:b/>
        </w:rPr>
        <w:t>E. 4.2</w:t>
      </w:r>
    </w:p>
    <w:p>
      <w:r>
        <w:t>La faute de l’appelant est grave. Il a été actif pendant plusieurs mois au plan local comme trafiquant de haschisch et de cocaïne auprès de consommateurs dont la vulnérabilité, à tout le moins s’agissant de E______, ne pouvait lui échapper. Au moment de son arrestation, il venait de passer à un échelon supérieur, étant parvenu à entrer en possession, dans des circonstances qui n’ont pu être élucidées, d’une grande quantité de cocaïne dont une partie au moins devait encore être diluée vu le taux de pureté de plus de 50%. En plus de cette activité illicite, il a commis des actes de recel. Les mobiles de l’appelant relèvent de l’appât du gain, au mépris de la santé de consommateurs susceptible d’être gravement mise en danger s’agissant de la cocaïne. Certes l’appelant était lui-même consommateur, mais il n’a pas prétendu avoir été acculé au trafic pour financer son habitude. Son comportement est d’autant moins excusable qu’il bénéficiait d’une situation plutôt favorable, comme il le reconnaît lui-même, qu’il s’apprêtait à devenir père et était au bénéfice d’un précédent sursis. Contrairement à ce qu’il soutient, il y a bien récidive spéciale pour le recel, s’agissant d’une infraction contre le patrimoine. Le fait d’avoir versé dans le trafic de stupéfiants constitue une progression inquiétante dans la criminalité. L’appelant n’a cessé de nier ou minimiser les faits tout au long de la procédure, stade de l’appel compris. Cette persistance dans le déni dément ses affirmations selon lesquelles la naissance de sa fille et la longue détention auraient provoqué chez lui une prise de conscience. Certes, la situation est difficile pour sa femme et sa fille, mais pas au point de justifier une réduction de la peine, étant rappelé que c’est l’épouse qui pourvoyait à l’entretien de la famille. Le récent projet de travail dans un établissement public n’est pas non plus une circonstance suffisante pour justifier une réduction de la peine. Au regard de la peine menace de vingt ans, la peine privative de liberté de 32 mois est conforme à la loi et à la jurisprudence de sorte que le jugement devra être confirmé sur ce point.</w:t>
      </w:r>
    </w:p>
    <w:p>
      <w:r>
        <w:rPr>
          <w:b/>
        </w:rPr>
        <w:t>E. 5</w:t>
      </w:r>
    </w:p>
    <w:p>
      <w:r>
        <w:t>5.1.1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 tout ou rien », mais dispose au contraire d'une marge d'appréciation plus étendue et d'une plus grande possibilité d'individualisation de la peine. 5.1.2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5.1.3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p. 11). 5.1.4 Aussi, l'octroi du sursis partiel n'est pas une simple possibilité à disposition du juge ; il lui incombe au contraire d'examiner les réalisations des conditions subjectives permettant l'octroi du sursis et d'accorder le sursis partiel lorsque le pronostic n'est pas défavorable. Ce n'est qu'en cas de pronostic défavorable que la peine sera ferme. D'autre part, la faute constitue au premier chef un critère d'appréciation pour la fixation de la peine (art. 47 CP), puis doit être prise en compte de manière appropriée dans un deuxième temps pour déterminer la partie de la peine qui devra être exécutée. Elle ne saurait dans tous les cas constituer le seul critère pour refuser l'octroi du sursis partiel. 5.1.5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 2 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rPr>
          <w:b/>
        </w:rPr>
        <w:t>E. 5.2</w:t>
      </w:r>
    </w:p>
    <w:p>
      <w:r>
        <w:t>D'après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dès lors pas nécessairement une révocation du sursis. Celle-ci ne se justifie qu'en cas d'un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w:t>
      </w:r>
    </w:p>
    <w:p>
      <w:r>
        <w:rPr>
          <w:b/>
        </w:rPr>
        <w:t>E. 5.3</w:t>
      </w:r>
    </w:p>
    <w:p>
      <w:r>
        <w:t>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pour que l'intéressé puisse au besoin la contester utilement et l'autorité de recours exercer son contrôle (arrêts du Tribunal fédéral 6B_855/2010 , consid. 2.2 du 7 avril 2011 et 6B_163/2011 consid 3.2 et 3.3 du 24 novembre 2011). 5.4.1 En l’occurrence, le pronostic est clairement défavorable et exclut l’octroi du sursis partiel à la peine privative de liberté de 32 mois sanctionnant les infractions à l’origine de la présente procédure. La récidive spéciale et la progression dans la gravité s’agissant de l’infraction à la LStup, initiée alors que le précédent sursis venait d’être prononcé, et poursuivie alors que la prochaine paternité de l’appelant appelait une attitude responsable, démontrent qu’il n’y a aucune raison de penser qu’un sursis partiel aurait un quelconque effet dissuasif. On ne peut pas davantage envisager que la durée de la détention préventive subie jusqu’à présent constituerait un avertissement suffisant dès lors que la prise de conscience demeure inexistante et qu’il n’y a ainsi aucun changement dans son état d’esprit. Au contraire, il importe que l’appelant subisse jusqu’au bout l’expérience de la sanction, afin qu’il prenne véritablement conscience des conséquences réservées à des agissements tels ceux dont il s’est rendu coupable. 5.4.2 L’absence d’une réelle prise de conscience dans ces circonstances, plus particulièrement malgré une détention préventive de plusieurs mois, ne permet pas non plus de penser que la nouvelle peine aurait un effet dissuasif suffisant ce qui permettrait de renoncer à la révocation du précédent sursis. Cette mesure n’a en effet nullement atteint le but d’avertissement qui lui est prêté et il ne reste partant plus que l’exécution de la peine suspendue pour espérer atteindre l’effet d’admonestation désiré. Le pronostic est ainsi défavorable sous cet angle-là également.</w:t>
      </w:r>
    </w:p>
    <w:p>
      <w:r>
        <w:rPr>
          <w:b/>
        </w:rPr>
        <w:t>E. 5.5</w:t>
      </w:r>
    </w:p>
    <w:p>
      <w:r>
        <w:t>Aussi convient-il de confirmer le jugement entrepris également dans la mesure où il refuse à l’appelant le bénéfice du sursis partiel et prononce la révocation du précédent sursis à la peine privative de liberté de 8 mois.</w:t>
      </w:r>
    </w:p>
    <w:p>
      <w:r>
        <w:rPr>
          <w:b/>
        </w:rPr>
        <w:t>E. 6</w:t>
      </w:r>
    </w:p>
    <w:p>
      <w:r>
        <w:t>6.1 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w:t>
      </w:r>
    </w:p>
    <w:p>
      <w:r>
        <w:rPr>
          <w:b/>
        </w:rPr>
        <w:t>E. 6.2</w:t>
      </w:r>
    </w:p>
    <w:p>
      <w:r>
        <w:t>L’appelant a été incapable de donner une explication plausible à la présence de nombreux appareils téléphoniques portables, cartes SIM ou souches de telles cartes à son domicile. Il faut admettre, à l’instar des premiers juges, que ces téléphones ont servi ou devaient servir à l’activité de vente de haschisch et de cocaïne de l’appelant, étant rappelé qu’il s’agit-là de la pratique usuelle dans ce domaine et que, selon D______, l’appelant n’a pas utilisé que le raccordement introduit dans l’appareil Alcatel pour entrer en contact avec les toxicomanes identifiés. De même, l’appelant n’a donné aucune explication à l’appui de ses conclusions tendant à la restitution des espèces. Certes, il s’agit de sommes modiques mais dans la mesure où il est dépourvu de revenus licites et n’affirme pas, par exemple, que cet argent lui ait été remis par son épouse, il convient d’admettre qu’il s’agit du fruit de son trafic. Les documents et la carte d’identité portant les noms de tiers ne sauraient être restitués à l’appelant qui n’en est pas le titulaire. En revanche, il convient de faire droit à sa requête s’agissant de l’Iphone dans la mesure où il subsiste un doute sur l’usage illicite de celui-ci. En effet, les contacts avec E______ étaient aussi amicaux, selon elle, et les rôles de H______ ainsi que de J______ n’ont pas été élucidés. Le jugement sera donc annulé dans cette faible mesure.</w:t>
      </w:r>
    </w:p>
    <w:p>
      <w:r>
        <w:rPr>
          <w:b/>
        </w:rPr>
        <w:t>E. 7</w:t>
      </w:r>
    </w:p>
    <w:p>
      <w:r>
        <w:t>L'appelant succombe très largement ; il supportera les frais de la procédure envers l'État (art. 428 CPP), comprenant un émolument de CHF 1'800.– (art. 14 al. 1 let. e du règlement fixant le tarif des frais en matière pénale, du 22 décembre 201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