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P/6439/2021 vom 20. April 2023</w:t>
      </w:r>
    </w:p>
    <w:p>
      <w:r>
        <w:t>GE Cour de justice, 2023-04-20, FR</w:t>
      </w:r>
    </w:p>
    <w:p>
      <w:r>
        <w:rPr>
          <w:b/>
        </w:rPr>
        <w:t xml:space="preserve">Quelle: </w:t>
      </w:r>
      <w:r>
        <w:t>https://mcp.opencaselaw.ch/entscheid/ge_gerichte_P_6439_2021</w:t>
      </w:r>
    </w:p>
    <w:p>
      <w:r>
        <w:t>FR: GE_GERICHTE P/6439/2021 du 20 avril 2023</w:t>
      </w:r>
    </w:p>
    <w:p>
      <w:r>
        <w:t>IT: GE_GERICHTE P/6439/2021 del 20 aprile 2023</w:t>
      </w:r>
    </w:p>
    <w:p>
      <w:pPr>
        <w:pStyle w:val="Heading2"/>
      </w:pPr>
      <w:r>
        <w:t>Regeste</w:t>
      </w:r>
    </w:p>
    <w:p>
      <w:r>
        <w:t>DIFFAMATION;CALOMNIE;PRINCIPE DE LA BONNE FOI;PREUVE LIBÉRATOIRE;VOL(DROIT PÉNAL);DOMMAGES À LA PROPRIÉTÉ(DROIT PÉNAL) | CPP.310; CP.173; CP.174; CP.139; CP.144</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partie à la procédure (art. 104 al. 1 let. b CPP), qui dispose d'un intérêt juridiquement protégé à recourir contre l'ordonnance querellée (art. 382 al. 1 CPP).![endif]&gt;![if&gt;</w:t>
      </w:r>
    </w:p>
    <w:p>
      <w:r>
        <w:rPr>
          <w:b/>
        </w:rPr>
        <w:t>E. 1.2</w:t>
      </w:r>
    </w:p>
    <w:p>
      <w:r>
        <w:t>La Chambre de céans constate que la recourante ne remet pas en cause l'ordonnance de non-entrée en matière querellée en tant qu'elle concerne les faits qui auraient été commis au préjudice de sa fille. Ce point n'apparaissant plus litigieux, il ne sera pas examiné plus avant dans le présent arrêt (art. 385 al. 1 let. a CPP).</w:t>
      </w:r>
    </w:p>
    <w:p>
      <w:r>
        <w:rPr>
          <w:b/>
        </w:rPr>
        <w:t>E. 1.3</w:t>
      </w:r>
    </w:p>
    <w:p>
      <w:r>
        <w:t>L'objet du litige est, pour le surplus, strictement circonscrit par la plainte pénale. Ainsi, à défaut de décision préalable, la Chambre de céans n'est pas compétente pour se prononcer sur les faits dénoncés par la recourante en lien avec l'audition de D______ par la police le 30 mai 2022. Le recours est donc irrecevable sur ce point.</w:t>
      </w:r>
    </w:p>
    <w:p>
      <w:r>
        <w:rPr>
          <w:b/>
        </w:rPr>
        <w:t>E. 2</w:t>
      </w:r>
    </w:p>
    <w:p>
      <w:r>
        <w:t>La recourante reproche au Ministère public d'avoir refusé d'entrer en matière sur les faits dénoncés dans sa plainte pénale pour diffamation et dénonciation calomnieuse, s'agissant des courriers adressés par les mises en cause au SPMi. ![endif]&gt;![if&gt;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 p. 243 ss).</w:t>
      </w:r>
    </w:p>
    <w:p>
      <w:r>
        <w:rPr>
          <w:b/>
        </w:rPr>
        <w:t>E. 2.2</w:t>
      </w:r>
    </w:p>
    <w:p>
      <w:r>
        <w:t>Se rend coupable de diffamation au sens de l'art. 173 ch. 1 CP, quiconque, en s'adressant à un tiers, aura accusé une personne ou jeté sur elle le soupçon de tenir une conduite contraire à l'honneur, ou de tout autre fait propre à porter atteinte à sa considération, de même que celui qui aura propagé une telle accusation ou un tel soupçon.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 et 152 et les références citées; arrêt du Tribunal fédéral 6B_632/2015 du 9 octobre 2015 consid. 1).</w:t>
      </w:r>
    </w:p>
    <w:p>
      <w:r>
        <w:rPr>
          <w:b/>
        </w:rPr>
        <w:t>E. 2.3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2.4</w:t>
      </w:r>
    </w:p>
    <w:p>
      <w:r>
        <w:t>En l'espèce, les accusations portées par les mises en cause sont indéniablement graves. Elles ont dénoncé au SPMi les mauvais traitements que subiraient, selon elles, les enfants de la recourante, pour avoir notamment été exposés à la prise de substances illicites par leur mère. Le SPMi n'y a toutefois pas donné de suite. Il s’ensuit que l’art. 173 ch. 1 CP est susceptible de trouver application. Cela étant, il ressort des déclarations des mises en cause à la police que leur démarche n'avait d'autre but que de protéger les enfants de la recourante. En effet, ayant constaté la présence de substances illicites chez la recourante, que cette dernière consommait devant ses enfants, ainsi que d'hommes, qu'elle pensait être des dealers, D______ considérait avoir dit la vérité. En outre, elle avait été témoin, en 2018, d'une tentative de suicide de la recourante, en présence de ses enfants. C______ a, quant à elle, expliqué avoir confirmé les craintes de sa fille, à la demande du SPMi. Elle avait fait appel à la police lors de la tentative de suicide précitée. Ainsi, rien ne permet de retenir que les mises en cause n'auraient pas tenu pour vraies leurs allégations. Dans ces circonstances, rien ne permet de traiter le cas des mises en cause de manière différente. En effet, il ne peut leur être reproché de s'être, de bonne foi, inquiétées pour le bien-être des enfants de la recourante, ce d'autant plus compte tenu de la profession d'éducatrice spécialisée de l'une d'elles. Au surplus, l'on ne distingue pas, dans leur démarche, de volonté de porter atteinte à la considération de la recourante, mais plutôt de faire cesser son (prétendu) comportement, perçu comme répréhensible, de sorte qu'une intention de nuire fait manifestement défaut (art. 173 al. 3 CP). Il n'est par ailleurs pas surprenant qu'elles se soient adressées au SPMi, dans la mesure où le dialogue avec la recourante semblait rompu, en raison du conflit de voisinage récurrent existant entre elles. Bien qu'aucune suite n'ait été donnée à cette dénonciation, les mises en cause étaient manifestement mues par un intérêt légitime, à savoir la protection des enfants de la recourante. On ne saurait ainsi leur reprocher de s'être adressées aux services compétents. Compte tenu des fonctions et attributions du SPMi, il n'existe pas de contradiction avec l'ordonnance pénale rendue le 20 avril 2023 par le Ministère public. La production des courriels litigieux ne permettrait pas non plus de modifier le raisonnement qui précède, dans la mesure où il ressort du dossier que les mises en cause ont agi avec un motif suffisant. Il sera donc retenu qu'elles peuvent être mises au bénéfice de l'art. 173 ch. 2 CP. La décision querellée sera donc confirmée sur ce point, par substitution de motifs s'agissant de D______.</w:t>
      </w:r>
    </w:p>
    <w:p>
      <w:r>
        <w:rPr>
          <w:b/>
        </w:rPr>
        <w:t>E. 2.5</w:t>
      </w:r>
    </w:p>
    <w:p>
      <w:r>
        <w:t>Les mises en cause n'ont, a fortiori, pas commis de calomnie, cette infraction étant une forme qualifiée de la diffamation.</w:t>
      </w:r>
    </w:p>
    <w:p>
      <w:r>
        <w:rPr>
          <w:b/>
        </w:rPr>
        <w:t>E. 3.1</w:t>
      </w:r>
    </w:p>
    <w:p>
      <w:r>
        <w:t>Aux termes de l'art. 139 CP, se rend coupable de vol celui qui, pour se procurer ou procurer à un tiers un enrichissement illégitime, aura soustrait une chose mobilière appartenant à autrui dans le but de se l'approprier. ![endif]&gt;![if&gt; Le vol implique donc, outre le dessein d'enrichissement illégitime, le dessein d'appropriation (ATF 90 IV 14 consid. 4a p. 18 s.). L'auteur du vol doit soustraire la chose dans le but de se l'approprier. Ainsi, il ne suffirait pas que l'auteur ait le dessein d'utiliser temporairement la chose ou de la détruire, il faut qu'il veuille l'incorporer à son patrimoine en vue de la conserver ou de l'aliéner (B. CORBOZ, Les infractions en droit suisse , vol. I, Berne 2010, n. 9 ad art. 139 CP).</w:t>
      </w:r>
    </w:p>
    <w:p>
      <w:r>
        <w:rPr>
          <w:b/>
        </w:rPr>
        <w:t>E. 3.1.1</w:t>
      </w:r>
    </w:p>
    <w:p>
      <w:r>
        <w:t>Si l'auteur soustrait la chose en vue de la détruire, il y a dommages à la propriété (art. 144 CP) au moment où la chose est endommagée.</w:t>
      </w:r>
    </w:p>
    <w:p>
      <w:r>
        <w:rPr>
          <w:b/>
        </w:rPr>
        <w:t>E. 3.2</w:t>
      </w:r>
    </w:p>
    <w:p>
      <w:r>
        <w:t>L'art. 141 CP punit le comportement de la personne qui, sans dessein d'appropriation, aura soustrait une chose mobilière à l'ayant droit et lui aura causé par là un préjudice considérable; soustraire signifie simplement enlever la chose à l'ayant droit (B. CORBOZ , op.cit ., n. 4 ad art. 141).![endif]&gt;![if&gt;</w:t>
      </w:r>
    </w:p>
    <w:p>
      <w:r>
        <w:rPr>
          <w:b/>
        </w:rPr>
        <w:t>E. 3.3</w:t>
      </w:r>
    </w:p>
    <w:p>
      <w:r>
        <w:t>L'art. 144 al. 1 CP punit, sur plainte, celui qui aura endommagé, détruit ou mis hors d'usage une chose appartenant à autrui ou frappée d'un droit d'usage ou d'usufruit au bénéfice d'autrui.![endif]&gt;![if&gt;</w:t>
      </w:r>
    </w:p>
    <w:p>
      <w:r>
        <w:rPr>
          <w:b/>
        </w:rPr>
        <w:t>E. 3.4</w:t>
      </w:r>
    </w:p>
    <w:p>
      <w:r>
        <w:t>Si l'acte ne visait qu'un élément patrimonial de faible valeur, l'auteur sera, sur plainte, puni d'une amende (art. 172 ter CP).</w:t>
      </w:r>
    </w:p>
    <w:p>
      <w:r>
        <w:rPr>
          <w:b/>
        </w:rPr>
        <w:t>E. 3.5</w:t>
      </w:r>
    </w:p>
    <w:p>
      <w:r>
        <w:t>En l'espèce, la recourante accuse C______ d'avoir dérobé, déchiré puis jeté son courrier pendant plus de deux ans, ce que cette dernière conteste. Force est de constater qu'il n'existe, à la procédure, aucun élément probant permettant d'établir les faits dénoncés par la recourante. En effet, l'audition de E______ doit être lue avec circonspection, eu égard aux liens l'unissant à cette dernière et le fait que des différents l'opposent à la mise en cause. Ainsi, ce témoignage ne saurait constituer, à lui seul, un élément de preuve à charge suffisant. Pour le surplus, aucun autre acte d'instruction n'apparait susceptible d'apporter d'élément complémentaire probant. La recourante n'en dit mot, d'ailleurs.</w:t>
      </w:r>
    </w:p>
    <w:p>
      <w:r>
        <w:rPr>
          <w:b/>
        </w:rPr>
        <w:t>E. 4</w:t>
      </w:r>
    </w:p>
    <w:p>
      <w:r>
        <w:t>Justifiée, l'ordonnance querellée sera donc confirmée.![endif]&gt;![if&gt;</w:t>
      </w:r>
    </w:p>
    <w:p>
      <w:r>
        <w:rPr>
          <w:b/>
        </w:rPr>
        <w:t>E. 5.1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RAJ).![endif]&gt;![if&gt;</w:t>
      </w:r>
    </w:p>
    <w:p>
      <w:r>
        <w:rPr>
          <w:b/>
        </w:rPr>
        <w:t>E. 5.2</w:t>
      </w:r>
    </w:p>
    <w:p>
      <w:r>
        <w:t>En l'espèce, le conseil de la recourante n'a pas produit d'état de frais (art. 17 RAJ), ni chiffré ses prétentions. Au vu du travail accompli, à savoir dix pages de recours, dont cinq pages en droit, du degré de difficulté des questions litigieuses, lesquelles ne présentaient pas de complexité particulière, et de l'issue du recours, qui a été rejeté, la rémunération de celui-ci sera arrêtée, ex aequo et bono , à CHF 430.80, TVA au taux de 7.7% (CHF 30.80) comprise, correspondant à deux heures d'activité au tarif horaire de CHF 200.-.</w:t>
      </w:r>
    </w:p>
    <w:p>
      <w:r>
        <w:rPr>
          <w:b/>
        </w:rPr>
        <w:t>E. 6</w:t>
      </w:r>
    </w:p>
    <w:p>
      <w:r>
        <w:t>La recourante, qui succombe, supportera, bien qu'au bénéfice de l'assistance judiciaire,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