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P/6424/2019 vom 9. September 2019</w:t>
      </w:r>
    </w:p>
    <w:p>
      <w:r>
        <w:t>GE Cour de justice, 2019-09-09, FR</w:t>
      </w:r>
    </w:p>
    <w:p>
      <w:r>
        <w:rPr>
          <w:b/>
        </w:rPr>
        <w:t xml:space="preserve">Quelle: </w:t>
      </w:r>
      <w:r>
        <w:t>https://mcp.opencaselaw.ch/entscheid/ge_gerichte_P_6424_2019</w:t>
      </w:r>
    </w:p>
    <w:p>
      <w:r>
        <w:t>FR: GE_GERICHTE P/6424/2019 du 9 septembre 2019</w:t>
      </w:r>
    </w:p>
    <w:p>
      <w:r>
        <w:t>IT: GE_GERICHTE P/6424/2019 del 9 settembre 2019</w:t>
      </w:r>
    </w:p>
    <w:p>
      <w:pPr>
        <w:pStyle w:val="Heading2"/>
      </w:pPr>
      <w:r>
        <w:t>Regeste</w:t>
      </w:r>
    </w:p>
    <w:p>
      <w:r>
        <w:t>EXCUSABILITÉ;QUESTION PRÉJUDICIELLE;NULLITÉ;EXPULSION(DROIT PÉNAL);NON-REFOULEMENT | CP.14; CP.17; CP.291; LEI.115.al1.letb; CPP.184; CPP.188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w:t>
      </w:r>
    </w:p>
    <w:p>
      <w:r>
        <w:rPr>
          <w:b/>
        </w:rPr>
        <w:t>E. 2.2</w:t>
      </w:r>
    </w:p>
    <w:p>
      <w:r>
        <w:t>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6B_896/2018 du 7 février 2019 consid. 2.1 ; 6B_463/2018 du 11 janvier 2019 consid. 1.1).</w:t>
      </w:r>
    </w:p>
    <w:p>
      <w:r>
        <w:rPr>
          <w:b/>
        </w:rPr>
        <w:t>E. 2.3</w:t>
      </w:r>
    </w:p>
    <w:p>
      <w:r>
        <w:t>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2.4</w:t>
      </w:r>
    </w:p>
    <w:p>
      <w:r>
        <w:t>Selon l'art. 184 al. 1 CPP, la direction de la procédure désigne l'expert. Elle établit un mandat écrit qui contient le nom de l'expert désigné et, éventuellement, la mention l'autorisant à faire appel à d'autres personnes travaillant sous sa responsabilité pour la réalisation de l'expertise (art. 184 al. 2 let. a et b CPP). Elle donne préalablement aux parties l'occasion de s'exprimer sur le choix de l'expert et les questions qui lui sont posées et de faire leurs propres propositions (art. 184 al. 3 CPP). La jurisprudence admet néanmoins que le droit d'être entendu des parties est encore respecté si elles ont l'occasion de s'exprimer sur le choix de l'expert et les questions qui lui sont posées et de faire leurs propres propositions après que l'expert a rendu son rapport (arrêt du Tribunal fédéral 6B_800/2016 du 25 octobre 2017, consid. 8.1 à 8.3 non publiés aux ATF 143 IV 397 ). Selon l'art. 188 CPP, la direction de la procédure porte le rapport d'expertise écrit à la connaissance des parties et leur fixe un délai pour formuler leurs observations.</w:t>
      </w:r>
    </w:p>
    <w:p>
      <w:r>
        <w:rPr>
          <w:b/>
        </w:rPr>
        <w:t>E. 2.5</w:t>
      </w:r>
    </w:p>
    <w:p>
      <w:r>
        <w:t>En l'espèce, l'appelant a demandé l'audition des passagers et du personnel de bord de l'avion de K______. Or, il ressort de la procédure que, d'une part, les policiers présents ont fait barrage entre lui et les passagers et, d'autre part, les faits litigieux se sont déroulés alors qu'il se trouvait déjà assis à un siège, entouré de policiers. Les passagers et le personnel de bord présents n'ont ainsi rien pu voir de la scène. S'agissant des éventuels propos des uns et des autres, ils ne sont pas visés par l'acte d'accusation. Les auditions requises ne sont ainsi pas pertinentes pour la solution de la cause. Pour ces motifs, la requête visant à identifier et auditionner les passagers et le personnel de bord a été rejetée à l'audience d'appel.</w:t>
      </w:r>
    </w:p>
    <w:p>
      <w:r>
        <w:rPr>
          <w:b/>
        </w:rPr>
        <w:t>E. 2.6</w:t>
      </w:r>
    </w:p>
    <w:p>
      <w:r>
        <w:t>Par ailleurs, l'appelant a sollicité qu'un délai lui soit imparti pour se déterminer par écrit sur le rapport d'expertise. Celle-ci a été ordonnée en réponse à sa propre demande de procéder, en audience, à l'audition d'un médecin-légiste ; le rapport lui a été envoyé (sans qu'un délai exprès lui soit imparti) dix jours avant l'audience, à laquelle il a pu poser toute question utile à l'experte et se déterminer par la plaidoirie de son avocat. La manière de procéder de la CPAR, qui a sollicité un rapport écrit plutôt qu'une expertise « au vol » à l'audience, va au-delà des réquisitions de preuve formulées. Compte tenu de surcroît de la détention de l'appelant (art. 5 CPP) et de la portée limitée de l'expertise (s'agissant d'une lésion qualifiée de voie de fait), son droit d'être entendu a été largement respecté, au-delà même de ses propres réquisitions de preuve.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3.2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4.1</w:t>
      </w:r>
    </w:p>
    <w:p>
      <w:r>
        <w:t>Conformément à l'art. 285 ch. 1 CP, est puni d'une peine privative de liberté de trois ans au plus ou d'une peine pécuniaire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du Tribunal fédéral 6B_1339/2018 du 21 février 2019 consid. 2.2 ; 6B_863/2015 du 15 mars 2016 consid. 1.1 = SJ 2017 I 85). L'art. 285 CP n'est pas applicable si l'auteur règle un compte privé avec le fonctionnaire, mais à un moment où celui-ci est en fonction (ATF 110 IV 91 consid. 2 p. 92 ; arrêt du Tribunal fédéral 6B_834/2008 du 20 janvier 2009 consid. 3.1).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w:t>
      </w:r>
    </w:p>
    <w:p>
      <w:r>
        <w:rPr>
          <w:b/>
        </w:rPr>
        <w:t>E. 4.2</w:t>
      </w:r>
    </w:p>
    <w:p>
      <w:r>
        <w:t>Selon l'art. 291 CP, celui qui aura contrevenu à une décision d'expulsion du territoire de la Confédération ou d'un canton prononcée par une autorité compétente sera puni d'une peine privative de liberté de trois ans au plus ou d'une peine pécuniaire. 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2e éd., Bâle 2017, n. 11 et 12 ad art. 291 et références citées).</w:t>
      </w:r>
    </w:p>
    <w:p>
      <w:r>
        <w:rPr>
          <w:b/>
        </w:rPr>
        <w:t>E. 4.3</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 arrêts du Tribunal fédéral 6B_960/2017 du 2 mai 2018 consid. 3.2 ; 6B_507/2017 du 8 septembre 2017 consid. 3.4 ; 6B_271/2016 du 22 août 2016 consid. 2.2). La jurisprudence admet l'existence de certains faits justificatifs extralégaux, à savoir qui ne sont pas réglés par le CP. Il s'agit notamment de la sauvegarde d'intérêts légitimes (ATF 129 IV 6 consid. 3.3 p. 14 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p. 226 ; ATF 129 IV 6 consid. 3.3 p. 15 ; ATF 127 IV 166 consid. 2b p. 168 s. ; ATF 127 IV 122 consid. 5c p. 135 ; arrêts du Tribunal fédéral 6B_960/2017 du 2 mai 2018 consid. 3.2 ; 6B_1369/2016 du 20 juillet 2017 consid. 6.1).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6 consid. 3.3 p. 15 ; arrêt du Tribunal fédéral 6B_960/2017 du 2 mai 2018 consid. 3.2, statuant précisément sur une infraction en lien avec une problématique de séjour en Suisse). Aux termes de l'art. 17 CP, quiconque commet un acte punissable pour préserver d'un danger imminent et impossible à détourner autrement un bien juridique lui appartenant ou appartenant à un tiers agit de manière licite s'il sauvegarde ainsi des intérêts prépondérants. Le CP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Il suppose donc l'existence d'un danger imminent qui ne peut être détourné autrement. La subsidiarité est absolue. Elle constitue une condition à laquelle aucune exception ne peut être faite (arrêt du Tribunal fédéral 6B_825/2016 du 6 juillet 2017 consid. 3.1 et les références citées). Lorsque l'auteur, en raison d'une représentation erronée des faits, se croit en situation de danger, alors qu'objectivement le danger n'existe pas, il agit en état de nécessité putatif. L'art. 13 CP est applicable (ATF 129 IV 6 consid. 3.2 p. 14; 122 IV 1 consid. 2b p. 4 s.). Aux termes de l'art. 13 CP, quiconque agit sous l'influence d'une appréciation erronée des faits est jugé d'après cette appréciation si elle lui est favorable. Déterminer ce qu'une personne a su, envisagé, voulu ou accepté relève des constatations de fait (ATF 141 IV 369 consid. 6.3 p. 375 et les arrêts cités).</w:t>
      </w:r>
    </w:p>
    <w:p>
      <w:r>
        <w:rPr>
          <w:b/>
        </w:rPr>
        <w:t>E. 4.4</w:t>
      </w:r>
    </w:p>
    <w:p>
      <w:r>
        <w:t>Selon la jurisprudence, le juge pénal peut examiner à titre préjudiciel la validité des décisions administratives qui sont à la base d'infractions pénales, selon trois hypothèses. Tout d'abord, en l'absence de voie de recours contre la décision administrative, le juge pénal peut revoir librement la décision quant à sa légalité, l'excès ou l'abus du pouvoir d'appréciation notamment. La seconde hypothèse concerne la situation lorsqu'un tribunal administratif s'est déjà prononcé ; le juge pénal ne peut, dans ce cas, en aucun cas revoir la légalité de la décision administrative. Enfin, dernière hypothèse,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129 IV 246 consid. 2.1 et 2.2; cf. dans un contexte de droit des étrangers arrêt du Tribunal fédéral 6B_1069/2014 du 25 février 2015 consid. 3).</w:t>
      </w:r>
    </w:p>
    <w:p>
      <w:r>
        <w:rPr>
          <w:b/>
        </w:rPr>
        <w:t>E. 4.5</w:t>
      </w:r>
    </w:p>
    <w:p>
      <w:r>
        <w:t>Ces principes ont été posés par le Tribunal fédéral en relation avec des règles du droit fédéral sanctionnant le non-respect de décisions (l'art. 292 CP notamment) et avec des décisions administratives relevant elles aussi du droit fédéral (cf. ATF 129 IV 246 , 121 IV 29 , 98 IV 106 ). Par ailleurs, le Tribunal fédéral a fondé son raisonnement, pour l'essentiel, sur des considérations relatives au principe de la légalité. Il a ainsi relevé que, tenu d'appliquer la loi, le juge pénal ne saurait être lié par des décisions administratives qui la violent et qu'en accordant la protection du droit pénal à des décisions illégales, c'est la loi elle-même qu'il transgresserait indirectement, manquant ainsi à son devoir d'en assurer le respect (ATF 98 IV 106 consid. 3b, p. 109; arrêt du Tribunal fédéral 6B_1006/2008 du 5 mars 2009, consid. 3.3.5.2).</w:t>
      </w:r>
    </w:p>
    <w:p>
      <w:r>
        <w:rPr>
          <w:b/>
        </w:rPr>
        <w:t>E. 5.1</w:t>
      </w:r>
    </w:p>
    <w:p>
      <w:r>
        <w:t>En l'espèce, l'appelant se prévaut, pour plaider son acquittement, de la nullité à la fois de la décision (judiciaire pénale) d'expulsion et de la décision (administrative) de refus de reporter cette expulsion. Il est douteux que la CPAR soit habilitée à remettre en cause la validité de la décision d'expulsion prononcée de façon exécutoire par une autorité pénale, que l'appelant n'a pas contestée alors qu'il était forcément assisté d'un avocat lors de la procédure ayant mené à ce prononcé (cf. art. 130 lit. b CPP) et qui est donc entré en force. En tout état de cause, à la lumière des principes énoncés ci-dessus, il n'y a pas lieu de considérer que la décision ultérieure de refus de reporter l'expulsion serait entachée de nullité. L'autorité administrative a spontanément rappelé les plaintes médicales de l'appelant et clairement précisé que l'état de santé de celui-ci ne faisait pas obstacle à l'exécution de la mesure pénale ; une autorité judiciaire a d'ailleurs constaté en janvier 2019 l'exécutabilité de la mesure de renvoi, dans une procédure au cours de laquelle l'appelant était assisté d'un avocat. L'appelant s'est d'ailleurs rendu à une consultation médicale aux HUG le jour-même de l'exécution de la mesure d'expulsion. Quand bien même l'objectif principal de cette consultation était de vérifier l'absence de corps étranger dans son estomac, il ne fait pas de doute que les médecins consultés à cette occasion connaissaient le contexte de cet examen et se seraient exprimés s'ils avaient considéré que l'appelant n'était pas apte à être expulsé. Dans ces circonstances, c'est en vain que l'appelant cherche à se prévaloir d'avis médicaux obtenus à l'étranger, à titre privé, et sans examen effectif de sa situation réelle et de son état de santé. Enfin, les allégations de l'appelant quant à une peine de prison en Algérie ne reposent que sur ses déclarations et ne sont étayées par aucune pièce crédible, étant relevé que l'appelant n'a pas été mis au bénéfice d'une protection relevant du droit d'asile, ce qui permet de douter fortement de la réalité de cette sanction, dont la nature n'est d'ailleurs pas établie, étant relevé qu'une peine de droit commun ne fonde pas une interdiction de refoulement. La CPAR exclut ainsi qu'il existe un fait justificatif permettant à l'appelant de ne pas se conformer à la décision judiciaire d'expulsion et de s'opposer à sa mise en oeuvre.</w:t>
      </w:r>
    </w:p>
    <w:p>
      <w:r>
        <w:rPr>
          <w:b/>
        </w:rPr>
        <w:t>E. 5.2</w:t>
      </w:r>
    </w:p>
    <w:p>
      <w:r>
        <w:t>Les dénégations de l'appelant s'agissant des violences commises à l'encontre de la partie plaignante, qui lui reproche les lésions subies à la tête lors de la tentative de renvoi du 2 mars 2019, ne sont pas crédibles et n'emportent pas conviction. La version des faits du plaignant est claire et précise ; les contradictions alléguées (par exemple quant à la date du rapport de police) sont sans portée dans ce contexte et ne permettent pas de remettre en doute sa version des faits, corroborée qui plus est par un témoin. Le plaignant est resté mesuré dans ses propos et n'a jamais cherché à accabler le prévenu. Les conclusions des experts, qui attribuent de façon privilégiée les lésions constatées à des griffures, accréditent encore sa version. Il est logique, au vu de l'importante excitation et du comportement hystérique de l'appelant, du contexte (dans un avion, alors que des passagers sont en train d'embarquer et que l'appelant se débat) et de l'ensemble des circonstances, que la partie plaignante, qui devait à la fois maîtriser l'appelant, assurer sa propre sécurité, celle de l'appelant et celles des autres policiers ainsi que celle des passagers, ne soit pas en mesure de décrire plus précisément la manière dont elle a été blessée. Il est en revanche bien établi que l'appelant a saisi le plaignant au niveau de son oreille, occasionnant une douleur et conduisant le plaignant à devoir vigoureusement se dégager. Il est tout aussi établi que la lésion a été occasionnée tandis que le plaignant, dans son rôle de policier, participait à une opération policière légitime, proportionnée et justifiée, tendant à mettre à exécution une décision judiciaire à laquelle l'appelant cherche par tous les moyens à se soustraire, n'hésitant pas à recourir pour ce faire à la violence à l'encontre des fonctionnaires chargés de cette exécution. D'ailleurs, même s'il fallait retenir - ce que la CPAR ne fait pas - que c'est un geste d'un collègue du plaignant, voire du plaignant lui-même, qui l'aurait blessé, ce geste devrait ce nonobstant être imputé à une faute intentionnelle de l'appelant, puisqu'il serait survenu dans le contexte de mesures de contrainte exercées légitimement à son encontre. Les conditions d'application des deux hypothèses de l'art. 285 CP sont ainsi pleinement réalisées, le plaignant ayant commis des voies de fait à l'encontre d'un fonctionnaire de police et, ce alors qu'il se débattait pour faire obstacle à la mise en oeuvre d'une décision judiciaire dont était chargé ledit fonctionnaire, dans le but de faire échec à la mission des policiers. Le verdict de culpabilité prononcé par le premier juge doit être confirmé. Il n'en va pas différemment de la rupture de ban. L'appelant, qui se soustrait par tous les moyens à son départ de Suisse, ordonné par une autorité judiciaire, est à la limite de la témérité lorsqu'il invoque à ce stade des arguments médicaux qu'il a eu tout loisir d'invoquer dans la procédure administrative consécutive à la mise en oeuvre de l'expulsion. Il n'a pas contesté la décision du 14 novembre 2018 par laquelle l'autorité administrative a considéré qu'aucune raison valable ne s'opposait à la mise en oeuvre de l'expulsion, laquelle décision a déjà examiné les motifs qu'il invoque, pour les rejeter. Ainsi, outre l'absence de fondement objectivé des craintes du recourant, celui-ci ne saurait se prévaloir d'un quelconque motif permettant de considérer son séjour en Suisse, et partant la violation de la mesure d'expulsion prononcée à son encontre, sont justifiés. Sur ce point également, le verdict de culpabilité prononcé par le premier juge doit être confirmé.</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144 IV 217 consid. 3.5.4 ; 144 IV 313 consid. 1.1.2).</w:t>
      </w:r>
    </w:p>
    <w:p>
      <w:r>
        <w:rPr>
          <w:b/>
        </w:rPr>
        <w:t>E. 6.2</w:t>
      </w:r>
    </w:p>
    <w:p>
      <w:r>
        <w:t>En l'espèce, les deux infractions commises par l'appelant sont de gravité équivalente. Elles emportent la même peine menace. Si la rupture de ban a certes duré plusieurs jours, les actes de violence commis par l'appelant à l'encontre des forces de l'ordre, sa manière de s'opposer à leurs actes et d'y résister avec acharnement, confèrent à ce comportement un poids plus important, et la peine de base sera fixée pour cette infraction et aggravée pour tenir compte du concours avec la rupture de ban. La faute de l'appelant est importante et dénote un mépris complet de l'autorité publique et des décisions judiciaires ainsi que de l'intégrité corporelle d'autrui. Ses mobiles sont égoïstes, et découlent de son acharnement à vivre dans l'illégalité. Sa situation personnelle, certes peu favorable, n'excuse pas son comportement. L'appelant présente de très nombreux antécédents judiciaires et il n'en a tiré aucun enseignement, alors qu'il a déjà été précédemment condamné à deux reprises du chef de rupture de ban. Il n'a aucunement pris conscience de sa faute, persiste à se présenter en victime et n'a pas particulièrement collaboré à l'instruction, n'ayant finalement admis que ce qu'il ne pouvait nier. Au vu de ses antécédents et pronostic négatif, seule une peine privative de liberté ferme entre en ligne de compte. Ainsi, la peine relative à l'infraction à l'art. 285 CP sera fixée à six mois. La peine d'ensemble, pour tenir compte du concours avec la rupture de ban, doit être portée à dix mois. La décision du premier juge doit ainsi être intégralement confirmée.</w:t>
      </w:r>
    </w:p>
    <w:p>
      <w:r>
        <w:rPr>
          <w:b/>
        </w:rPr>
        <w:t>E. 7</w:t>
      </w:r>
    </w:p>
    <w:p>
      <w:r>
        <w:t>Les motifs ayant conduit le premier juge à prononcer, par ordonnance séparée du 6 juin 2019, le maintien de l'appelant en détention pour des motifs de sûreté sont toujours d'actualité, ce que celui-ci ne conteste au demeurant pas, de sorte que la mesure sera reconduite mutatis mutandis (ATF 139 IV 277 consid. 2.2 à 2.3).</w:t>
      </w:r>
    </w:p>
    <w:p>
      <w:r>
        <w:rPr>
          <w:b/>
        </w:rPr>
        <w:t>E. 8</w:t>
      </w:r>
    </w:p>
    <w:p>
      <w:r>
        <w:t>L'appelant, qui succombe, supportera les frais de la procédure envers l'Etat (art. 428 CPP).</w:t>
      </w:r>
    </w:p>
    <w:p>
      <w:r>
        <w:rPr>
          <w:b/>
        </w:rPr>
        <w:t>E. 9</w:t>
      </w:r>
    </w:p>
    <w:p>
      <w:r>
        <w:t>9.1.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100.- pour les chefs d'étude, dite rémunération étant allouée d'office par la juridiction d'appel pour les débats devant elle.</w:t>
      </w:r>
    </w:p>
    <w:p>
      <w:r>
        <w:rPr>
          <w:b/>
        </w:rPr>
        <w:t>E. 9.4</w:t>
      </w:r>
    </w:p>
    <w:p>
      <w:r>
        <w:t>En l'occurrence le conseil de l'appelant a été indemnisé par le premier juge pour son activité de première instance, qui n'a donc pas à l'être par la juridiction d'appel. L'écriture d'appel n'a pas non plus à l'être, s'agissant d'un poste inclus dans la rémunération forfaitaire. Enfin, le temps de préparation à l'audience, et notamment les recherches, est trop élevé, même compte tenu des actes d'instruction intervenus, et sera donc ramené à cinq heures d'activité de chef d'étude, étant rappelé que le dossier était connu du conseil pour l'avoir déjà plaidé en première instance. L'activité totale dépassant 30 heures, la majoration forfaitaire sera arrêtée à 10%. En conclusion, l'indemnité sera arrêtée à CHF 3'227.40 correspondant à 13 heures et dix minutes d'activité (soit cinq heures de préparation d'audience, 4h30 d'entretiens avec l'appelant à la prison et la durée de l'audience d'appel) au tarif de CHF 200.-/heure plus la majoration forfaitaire de 10%, auxquels s'ajoutent le déplacement à l'audience d'appel et l'équivalent de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