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P/6402/2022 vom 1. November 2022</w:t>
      </w:r>
    </w:p>
    <w:p>
      <w:r>
        <w:t>GE Cour de justice, 2022-11-01, FR</w:t>
      </w:r>
    </w:p>
    <w:p>
      <w:r>
        <w:rPr>
          <w:b/>
        </w:rPr>
        <w:t xml:space="preserve">Quelle: </w:t>
      </w:r>
      <w:r>
        <w:t>https://mcp.opencaselaw.ch/entscheid/ge_gerichte_P_6402_2022</w:t>
      </w:r>
    </w:p>
    <w:p>
      <w:r>
        <w:t>FR: GE_GERICHTE P/6402/2022 du 1 novembre 2022</w:t>
      </w:r>
    </w:p>
    <w:p>
      <w:r>
        <w:t>IT: GE_GERICHTE P/6402/2022 del 1 novembre 2022</w:t>
      </w:r>
    </w:p>
    <w:p>
      <w:pPr>
        <w:pStyle w:val="Heading2"/>
      </w:pPr>
      <w:r>
        <w:t>Regeste</w:t>
      </w:r>
    </w:p>
    <w:p>
      <w:r>
        <w:t>ORDONNANCE DE NON-ENTRÉE EN MATIÈRE;ORDONNANCE DE CLASSEMENT;VIOL;CONTRAINTE SEXUELLE;ACTE D'ORDRE SEXUEL SUR UN INCAPABLE DE DISCERNEMENT;ABUS DE LA DÉTRESSE;ENCOURAGEMENT À LA PROSTITUTION | CPP.310.al1.leta; CPP.319.al1.letb; CPP.318.al1; CP.189; CP.190; CP.191; CP.193; CP.195.al2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![endif]&gt;![if&gt;</w:t>
      </w:r>
    </w:p>
    <w:p>
      <w:r>
        <w:rPr>
          <w:b/>
        </w:rPr>
        <w:t>E. 2</w:t>
      </w:r>
    </w:p>
    <w:p>
      <w:r>
        <w:t>Les faits nouveaux et les pièces nouvelles produites par la recourante sont recevables, la jurisprudence admettant leur production en deuxième instance (arrêts du Tribunal fédéral 1B_368/2014 du 5 février 2015, consid. 3.1 et 3.2 et 1B_768/2012 du 15 janvier 2013, consid. 2.1).![endif]&gt;![if&gt;</w:t>
      </w:r>
    </w:p>
    <w:p>
      <w:r>
        <w:rPr>
          <w:b/>
        </w:rPr>
        <w:t>E. 3</w:t>
      </w:r>
    </w:p>
    <w:p>
      <w:r>
        <w:t>On peut s'étonner de l'absence d'acte de prochaine clôture, qui précède toute décision de classement (art. 318 al. 1 CPP), lequel aurait permis à la plaignante de faire valoir ses réquisitions de preuve. Faute cependant de mesures de contrainte ordonnées – la perquisition et saisie des téléphones portables du prévenu n'ayant finalement pas été exécutées – la décision critiquée, malgré son intitulé, s'apparente en réalité à une ordonnance de non-entrée en matière. ![endif]&gt;![if&gt; Dans la mesure où la Chambre de céans dispose d'un pouvoir de cognition complet, la recourante n'en est pas prétéritée.</w:t>
      </w:r>
    </w:p>
    <w:p>
      <w:r>
        <w:rPr>
          <w:b/>
        </w:rPr>
        <w:t>E. 4</w:t>
      </w:r>
    </w:p>
    <w:p>
      <w:r>
        <w:t>La recourante fait grief au Ministère public d'avoir classé sa plainte. ![endif]&gt;![if&gt;</w:t>
      </w:r>
    </w:p>
    <w:p>
      <w:r>
        <w:rPr>
          <w:b/>
        </w:rPr>
        <w:t>E. 4.1</w:t>
      </w:r>
    </w:p>
    <w:p>
      <w:r>
        <w:t>Aux termes de l'art. 319 al. 1 let. b CPP, le ministère public ordonne le classement de la procédure lorsque les éléments constitutifs d'une infraction ne sont pas réunis. ![endif]&gt;![if&gt; Selon l'art. 310 al. 1 let. a CPP, le ministère public rend immédiatement une ordonnance de non-entrée en matière lorsqu'il ressort de la plainte que les éléments constitutifs d'une infraction ne sont manifestement pas réunis. Ces dispositions doivent être interprétées à la lumière du principe " in dubio pro duriore ", selon lequel un classement ou une non-entrée en matière ne peuvent être prononcés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Dans les procédures où l'accusation repose essentiellement sur les déclarations de la victime, auxquelles s'opposent celles du prévenu, le principe " in dubio pro duriore " impose, en règle générale, que ce dernier soit mis en accusation. Cela vaut en particulier lorsqu'il s'agit de délits commis typiquement " entre quatre yeux " pour lesquels il n'existe souvent aucune preuve objective (arrêt du Tribunal fédéral 6B_1164/2020 précité, consid. 2.2). Concernant plus spécialement la poursuite des infractions contre l'intégrité sexuelle, les déclarations de la partie plaignante constituent un élément de preuve qu'il incombe au juge du fond d'apprécier librement, dans le cadre d'une évaluation globale de l'ensemble des éléments probatoires figurant au dossier (arrêt du Tribunal fédéral 6B_1164/2020 précité, consid. 3.2 in fine ). Il peut toutefois être renoncé à une mise en accusation si: la victime fait des dépositions contradictoires, rendant ses accusations moins crédibles; une condamnation apparaît, au vu de l'ensemble des circonstances, a priori improbable pour d'autres motifs; il n'est pas possible d'apprécier l'une ou l'autre des versions opposées des parties comme étant plus ou moins plausible et aucun résultat n'est à escompter d'autres moyens de preuve (arrêt du Tribunal fédéral 6B_1164/2020 précité, consid. 2.2). 4.2.1. Enfreint l'art. 189 CP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(art. 190 CP), quiconque, notamment en usant de menace ou de violence, en exerçant sur sa victime des pressions d'ordre psychique ou en la mettant hors d'état de résister, aura contraint une personne de sexe féminin à subir l'acte sexuel. 4.2.2. Sur le plan objectif, il faut, pour qu'il y ait contrainte, que la victime ne soit pas consentante, que le prévenu le sache ou accepte cette éventualité et que celui-ci déjoue, en utilisant un moyen efficace, la résistance que l'on peut attendre de celle-là (arrêt du Tribunal fédéral 6B_1164/2020 précité, consid. 3.1). La violence suppose un emploi de la force physique sur la victime (afin de la faire céder) plus intense que ne l'exige l'accomplissement de l'acte dans les circonstances ordinaires. Selon les cas, un déploiement de force relativement faible peut suffire, tel que maintenir la victime avec la force de son corps, la renverser à terre, lui arracher ses habits ou lui tordre un bras derrière le dos (arrêt du Tribunal fédéral 6B_116/2019 du 11 mars 2019 consid. 2.2.1). En introduisant la notion de " pressions psychiques ", le législateur a voulu viser les cas où l'auteur provoque chez la victime des effets tel que la surprise, la frayeur ou le sentiment d'une situation sans espoir, propres à la faire céder, sans pour autant recourir à la force physique ou à la violence (arrêt du Tribunal fédéral 6B_1164/2020 précité, consid. 3.1). Pour être qualifiées de contrainte, ces pressions doivent atteindre une intensité particulière (ATF 131 IV 167 consid. 3.1) et rendre la soumission de la victime compréhensible (arrêt du Tribunal fédéral 6B_159/2020 du 20 avril 2020 consid. 2.4.3). En cas de pressions d'ordre psychique, il n'est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ou d'amitié ou même la subordination comme celle de l'enfant à l'adulte ne suffisent, en règle générale pas pour admettre une pression psychologique au sens de l'art. 190 al. 1 CP (ATF 131 IV 107 consid. 2.2; ATF 128 IV 97 consid. 2b/aa et cc; arrêt du Tribunal fédéral 6B_583/2017 du 20 décembre 2017 consid. 3.1). Les infractions aux art. 189 et 190 CP sont intentionnelles, mais le dol éventuel suffit (arrêts du Tribunal fédéral 6B_1306/2017 du 17 mai 2018 consid. 2.1.2 in fine et 6B_1175/2017 du 11 avril 2018 consid. 1.1 in fine ). L'auteur doit savoir que la victime n'est pas consentante ou en accepter l'éventualité (arrêts du Tribunal fédéral 6B_367/2021 du 14 décembre 2021 consid. 2.2.2 et 6B_643/2021 du 21 septembre 2021 consid. 3.3.4).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 du Tribunal fédéral 6B_1285/2018 du 11  février 2019 consid. 2.2). 4.2.3. Commet l'infraction réprimée par l'art. 191 CP celui qui, sachant une personne incapable de discernement ou de résistance, en aura profité pour commettre sur elle l'acte sexuel, un acte analogue ou un autre acte d'ordre sexuel. On parle d'incapacité de discernement lorsque les aptitudes mentales de la personne ne lui permettent pas de comprendre la signification et la portée des relations sexuelles, et de se déterminer en toute connaissance de cause (M. DUPUIS / L. MOREILLON / C. PIGUET / S. BERGER / M. MAZOU / V. RODIGARI (éds), Code pénal - Petit commentaire , 2 e éd., Bâle 2017, n 9 et 10 ad art. 191). L'art. 191 CP protège, indépendamment de leur âge et de leur sexe, les personnes incapables de discernement dont l'auteur, en connaissance de cause, entend profiter pour commettre avec elles un acte d'ordre sexuel. À la différence de la contrainte sexuelle (art. 189 CP) et du viol (art. 190 CP), la victime est incapable de discernement,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ATF 133 IV 49 consid. 7.2 ss; arrêt du Tribunal fédéral 6B_10/2014 du 1 er mai 2014 consid. 4.1.1). Sur le plan subjectif, cette disposition requiert l'intention, étant précisé que le dol éventuel suffit (arrêts 6B_578/2018 du 20 mars 2019 consid. 2.1; 6B_128/2012 du 21 juin 2012 consid. 1.6.1). 4.2.4. L'art. 193 al. 1 CP punit celui qui, profitant de la détresse où se trouve la victime ou d'un lien de dépendance fondé sur les rapports de travail ou d'un lien de dépendance de toute autre nature, aura déterminé celle-ci à commettre ou à subir un acte d'ordre sexuel. Cette disposition protège la libre détermination en matière sexuelle. L'infraction suppose que la victime se trouve dans une situation de détresse ou de dépendance par rapport à l'auteur (arrêt du Tribunal fédéral 6B_1175/2017 du 11 avril 2018 consid. 1.1). La victime est dépendante, au sens de cette norme, lorsqu'elle est objectivement, voire même seulement subjectivement, à la merci de l'auteur de l'infraction. Sa liberté de décision doit être considérablement limitée. À la base d'un lien de dépendance, il y a, en règle générale, un rapport de confiance particulier et toujours une forte emprise du prévenu sur la victime (arrêt du Tribunal fédéral 6B_1076/2015 du 13 avril 2016 consid. 2.1). La détresse n'implique pas – au contraire de la dépendance – de relation spécifique entre l'auteur et la victime, comme un rapport de force ou un lien de confiance. La détresse est un état de la victime que l'auteur constate et dont il se sert (arrêt du Tribunal fédéral 6B_204/2019 du 15 mai 2019 consid. 6.1). La question de savoir s'il existe un état de détresse ou un lien de dépendance au sens de l'art. 193 CP et si la capacité de la victime de se déterminer était gravement limitée doit être examinée à la lumière des circonstances du cas d'espèce (ATF 131 IV 114 consid. 1 p. 119) et appréciée selon la représentation que s'en font les intéressés (ATF 99 IV 161 consid.  1 p. 162; arrêt du Tribunal fédéral 6B_1175/2017 précité, consid. 1.1). L'art. 193 exige en outre que l'auteur exploite cette détresse ou ce lien de dépendance. Il y a mise à profit ou abus d'une situation de détresse ou de dépendance lorsqu'il existe un lien de causalité entre cette situation et l'acceptation par la victime des actes d'ordre sexuel. Il faut que l'auteur de l'infraction, usant de son emprise sur la victime, ait déterminé cette dernière à commettre ou à subir un acte d'ordre sexuel. Elle présuppose que l'auteur utilise consciemment la diminution de la capacité de décider et de se défendre de la victime et tire profit de sa docilité pour l'amener à faire preuve de complaisance en matière sexuelle (ATF 133 IV 49 consid. 4 p. 52; ATF 131 IV 114 consid. 1 p. 119). Du point de vue subjectif, l'acte est intentionnel. L'auteur doit savoir ou tout au moins supposer que la personne concernée n'accepte les actes d'ordre sexuel en question qu'en raison de son état de détresse ou du lien de dépendance existant (ATF 131 IV 114 consid. 1 p. 119). 4.2.5. Se rend coupable d'encouragement à la prostitution (art. 195 al. 2 CP) celui qui, profitant d'un rapport de dépendance ou dans le but de tirer un avantage patrimonial, aura poussé autrui à se prostituer. Pousse à la prostitution " celui qui initie une personne à ce métier et la détermine à l'exercer ". Pour que cette conception de la prostitution se réalise, il suffit que l'auteur pousse la personne à exercer une activité en comptant simplement sur le fait qu'elle puisse s'adonner occasionnellement à la prostitution. L'auteur doit cependant exercer sur la victime une influence d'une certaine intensité. Il ne suffit en général pas d'évoquer, de suggérer ou simplement de proposer l'exercice de cette activité; on rejette par ailleurs l'hypothèse d'un " encouragement " de la victime si l'auteur crée simplement une occasion de s'adonner à la prostitution ou lui présente cette possibilité, car celle-ci doit être telle qu'elle mène exclusivement à l'activité incriminée (ATF 129 IV 71 consid. 1.4 p. 77). Pour atteindre une certaine intensité, de simples conseils ne suffisent pas non plus; l'auteur doit adopter un comportement qui influence notablement la volonté de la personne, par exemple en fournissant la clientèle ou en mettant un endroit adéquat à disposition de la victime (J. HURTADO POZO, Droit pénal: partie spéciale , Genève/Zurich/Bâle 2009, n. 3127; Message concernant la modification du code pénal et du code pénal militaire (Infractions contre la vie et l'intégrité corporelle, les mœurs et la famille) du 26 juin 1985 in FF 1985 II 1021 ss, p. 1099).</w:t>
      </w:r>
    </w:p>
    <w:p>
      <w:r>
        <w:rPr>
          <w:b/>
        </w:rPr>
        <w:t>E. 4.3</w:t>
      </w:r>
    </w:p>
    <w:p>
      <w:r>
        <w:t>En l'espèce, les parties s'accordent à dire qu'elles ont pratiqué à plusieurs reprises des actes d'ordre sexuel, soit des fellations, et ont entretenu un rapport sexuel complet avec préservatif. En revanche, leurs déclarations sont contradictoires sur la question du consentement de la recourante auxdits actes en lien avec les troubles psychiques dont elle souffre, reconnaissables par le prévenu, de par sa qualité de ______, ce que [l'unité] E______ a également constaté dans son rapport du 7 juillet 2022. Lorsqu'il s'agit d'un délit commis " entre quatre yeux ", pour lequel il n'existe souvent aucune preuve objective, comme c'est le cas en l'occurrence – aucun témoin n'ayant assisté à la scène – la jurisprudence impose la mise en accusation du prévenu, sauf si les déclarations de la partie plaignante sont contradictoires au point de les rendre moins crédibles. Force est de constater que la version soutenue par la recourante permet d'envisager, à tout le moins, une éventuelle infraction à l'art. 193 CP. En effet, elle a, de nombreuses fois, lors de son audition, évoqué sa vulnérabilité et ses troubles de la personnalité. Ses déclarations sont corroborées par l'avis du personnel soignant de [l'unité] E______ selon lequel elle présentait un tableau clinique susceptible de correspondre à un trouble dissociatif de l'identité et peinait à identifier les actes de violence à son encontre, ainsi qu'à s'en protéger. Il n'est donc pas exclu que la jeune femme, de par son état de détresse, ait consenti, de façon altérée, voire non libre, aux actes sexuels litigieux. En admettant que l'intimé, ______ de profession, ait été conscient de l'état de la recourante – hypothèse qui ne peut être exclue à ce stade, bien au contraire –, il pourrait avoir utilisé la diminution de la capacité de décider de cette dernière pour l'amener à faire preuve de complaisance et de docilité. Vu les indices suffisants ressortant du dossier, il appartenait au Ministère public, à tout le moins, de confronter les parties et de procéder à l'audition des professionnels de santé ayant suivi la recourante; voire même des amies de celle-ci, H______ et I______. En l'état, l'instruction paraît ainsi inachevée et lacunaire. La cause sera par conséquent renvoyée au Ministère public pour qu'il la complète.</w:t>
      </w:r>
    </w:p>
    <w:p>
      <w:r>
        <w:rPr>
          <w:b/>
        </w:rPr>
        <w:t>E. 5</w:t>
      </w:r>
    </w:p>
    <w:p>
      <w:r>
        <w:t>Fondé, le recours doit être admis; partant, l'ordonnance querellée sera annulée et la cause sera envoyée au Ministère public pour qu'il procède dans le sens des considérants.![endif]&gt;![if&gt;</w:t>
      </w:r>
    </w:p>
    <w:p>
      <w:r>
        <w:rPr>
          <w:b/>
        </w:rPr>
        <w:t>E. 6</w:t>
      </w:r>
    </w:p>
    <w:p>
      <w:r>
        <w:t>La recourante sollicite d'être mise au bénéfice de l'assistance judiciaire tant pour la procédure à mener devant le Ministère public que pour l'instance de recours. ![endif]&gt;![if&gt;</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(art. 136 al. 2 CPP), outre l'exonération des frais de procédure (let. a), la désignation d'un conseil juridique gratuit, lorsque la défense des intérêts de la partie plaignante l'exige (let. c). La cause du plaignant ne devant pas être dénuée de toute chance de succès, l'assistance peut être refusée lorsqu'il apparaît d'emblée que la position du requérant est juridiquement infondée (arrêt du Tribunal fédéral 1B_254/2013 du 27 septembre 2013 consid. 2.1.1).</w:t>
      </w:r>
    </w:p>
    <w:p>
      <w:r>
        <w:rPr>
          <w:b/>
        </w:rPr>
        <w:t>E. 6.2</w:t>
      </w:r>
    </w:p>
    <w:p>
      <w:r>
        <w:t>En l'espèce, la situation personnelle de la recourante n'apparaît pas favorable et elle présente un état psychique fragile attesté par le rapport de [l'unité] E______. Elle s'est par ailleurs constituée partie plaignante, tant sur le plan pénal que civil. Ses prétentions civiles – bien que non encore formellement déposées – n'apparaissent pas vouées à l'échec, au vu de l'issue du recours. La nécessité d'un conseil juridique gratuit sera admise. Partant, l'assistance judiciaire sera accordée à la recourante, au sens de l'art. 136 al. 2 let. a et b CPP, et M e B______ désignée en qualité de conseil juridique gratuit (art. 136 al. 2 let. c CPP) avec effet au 18 mai 2022, date du dépôt de la demande.</w:t>
      </w:r>
    </w:p>
    <w:p>
      <w:r>
        <w:rPr>
          <w:b/>
        </w:rPr>
        <w:t>E. 7</w:t>
      </w:r>
    </w:p>
    <w:p>
      <w:r>
        <w:t>La recourante étant au bénéfice de l'assistance judiciaire et obtenant gain de cause, les frais afférents au recours seront laissés à la charge de l'état (art. 428 al. 4 CPP). ![endif]&gt;![if&gt;</w:t>
      </w:r>
    </w:p>
    <w:p>
      <w:r>
        <w:rPr>
          <w:b/>
        </w:rPr>
        <w:t>E. 8</w:t>
      </w:r>
    </w:p>
    <w:p>
      <w:r>
        <w:t>Il n'y a pas lieu de fixer à ce stade l'indemnité due au conseil juridique gratuit (art.  135 al. 2 et 138 al. 1 CPP), la procédure n'étant pas terminée.![endif]&gt;![if&gt;</w:t>
      </w:r>
    </w:p>
    <w:p>
      <w:r>
        <w:rPr>
          <w:b/>
        </w:rPr>
        <w:t>E. 9</w:t>
      </w:r>
    </w:p>
    <w:p>
      <w:r>
        <w:t>Au vu de l'issue du litige, aucune indemnisation ne sera accordée au prévenu (art.  429 CPP, à contrario, cum art. 436 CPP).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