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P/6355/2022 vom 14. März 2023</w:t>
      </w:r>
    </w:p>
    <w:p>
      <w:r>
        <w:t>GE Cour de justice, 2023-03-14, FR</w:t>
      </w:r>
    </w:p>
    <w:p>
      <w:r>
        <w:rPr>
          <w:b/>
        </w:rPr>
        <w:t xml:space="preserve">Quelle: </w:t>
      </w:r>
      <w:r>
        <w:t>https://mcp.opencaselaw.ch/entscheid/ge_gerichte_P_6355_2022</w:t>
      </w:r>
    </w:p>
    <w:p>
      <w:r>
        <w:t>FR: GE_GERICHTE P/6355/2022 du 14 mars 2023</w:t>
      </w:r>
    </w:p>
    <w:p>
      <w:r>
        <w:t>IT: GE_GERICHTE P/6355/2022 del 14 marzo 2023</w:t>
      </w:r>
    </w:p>
    <w:p>
      <w:pPr>
        <w:pStyle w:val="Heading2"/>
      </w:pPr>
      <w:r>
        <w:t>Regeste</w:t>
      </w:r>
    </w:p>
    <w:p>
      <w:r>
        <w:t>COMPLICITÉ;COCAÏNE;SÉJOUR ILLÉGAL;FIXATION DE LA PEINE | LStup.19.al1.letd; CP.25; LStup.19.al2.leta; LEI.115.al1.letb; CP.47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3</w:t>
      </w:r>
    </w:p>
    <w:p>
      <w:r>
        <w:t>3.1.1. L'art. 19 al. 1 let. d LStup est réalisé par celui qui, sans droit, possède, détient ou acquiert des stupéfiants ou s'en procure de toute autre manière. 3.1.2. Selon l'art. 19 al. 2 let. a LStup, le cas est grave lorsque l'auteur sait ou ne peut ignorer que l'infraction peut directement ou indirectement mettre en danger la santé de nombreuses personnes. La formulation de cette disposition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p. 315 ss ; arrêt du Tribunal fédéral 6B_1428/2019 du 5 février 2020 consid. 1.1.2). S'agissant de la quantité pour la cocaïne, la condition objective est remplie dès que l'infraction porte sur une quantité contenant 18 grammes de substance pure (ATF 145 IV 312 consid. 2.1 ; 138 IV 100 consid. 3.2).</w:t>
      </w:r>
    </w:p>
    <w:p>
      <w:r>
        <w:rPr>
          <w:b/>
        </w:rPr>
        <w:t>E. 3.2</w:t>
      </w:r>
    </w:p>
    <w:p>
      <w:r>
        <w:t>Est un complice, celui qui prête intentionnellement assistance à l'auteur pour commettre un crime ou un délit (art. 25 du Code pénal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abstention (ATF 132 IV 49 consid. 1.1 ; 129 IV 124 consid. 3.2 ; 121 IV 109 consid. 3a). Subjectivement, le complice doit avoir l'intention de favoriser la commission, mais le dol éventuel suffit (ATF 121 IV 109 consid. 3a ; 118 IV 309 consid. 1a).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148 IV 188 consid. 3.6 p. 204 ; 132 IV 49 consid. 1.1 ; 121 IV 109 consid. 3a ; arrêt du Tribunal fédéral 6B_72/2009 du 20 mai 2009 consid. 2.1).</w:t>
      </w:r>
    </w:p>
    <w:p>
      <w:r>
        <w:rPr>
          <w:b/>
        </w:rPr>
        <w:t>E. 3.3</w:t>
      </w:r>
    </w:p>
    <w:p>
      <w:r>
        <w:t>Au vu de la définition très large des comportements réprimés à l'art. 19 al. 1 LStup, la complicité est rarement applicable en matière d'infraction à la LStup, car l'art. 19 LStup érige en infraction indépendante des actes de soutien qui, pour des infractions au Code pénal, seraient des cas de participation (S. GRODECKI / Y. JEANNERET, Petit commentaire LStup – dispositions pénales , 2022, n. 110 ad art. 19). La jurisprudence cite, à titre d'exemple de complicité, celui qui fournit un véhicule avec une cache permettant le transport de stupéfiants (ATF 106 IV 72 consid. 2.b) ou celui qui laisse occasionnellement son appartement à disposition pour des rencontres relatives à un trafic de stupéfiants (ATF 119 IV 266 ) ou encore celui qui met à disposition son studio à un trafiquant de drogue notoire (arrêt du Tribunal fédéral 6B_273/2012 du 11 septembre 2012, consid. 1.3).</w:t>
      </w:r>
    </w:p>
    <w:p>
      <w:r>
        <w:rPr>
          <w:b/>
        </w:rPr>
        <w:t>E. 3.4</w:t>
      </w:r>
    </w:p>
    <w:p>
      <w:r>
        <w:t>En l'espèce, E______ a varié dans ses déclarations. Par conséquent, on ne peut pas lui accorder une forte crédibilité, contrairement à l'avis des premiers juges. En effet, il a parfois adapté son récit à partir d'éléments qu'on lui soumettait, notamment sur le moment précis où il a fait part du contenu du sac [en papier du restaurant] H______ à l'appelant. Il existe toutefois un point sur lequel il a toujours été constant : la mise en cause de A______, cela alors qu'il ne tirait aucun bénéfice à accuser ce dernier. Celle-ci est intervenue dès sa première audition, ce qui renforce le poids à accorder à cet élément, puisqu'il est notoire que les premières déclarations tenues devant la police, qui plus est détaillées, ont le poids de la spontanéité et revêtent une crédibilité accrue. Il faut également relever que E______ a immédiatement assumé sa part de responsabilité, contrairement à A______ qui n'a fait que tout nier en bloc, fournissant des explications parfois peu cohérentes, sinon évolutives. En particulier, l'appelant ne peut être suivi quand il soutient ne pas avoir vu E______ glisser la drogue dans son sac de sport, car "il avait dû se tourner pour accrocher sa veste au dos d'une chaise" à ce moment précis. Ses nouvelles explications n'ont été données que lors de ses dernières auditions et ce changement de version est apparu à un moment trop opportun pour qu'on lui donne du crédit. En effet, lors de ses premières auditions à la police et au MP, respectivement le jour et le lendemain des faits, il avait au contraire expliqué qu'en remontant à la chambre où E______ et lui avaient rencontré la femme de ménage, il avait posé le sac de sport sur le lit et son ami y avait déposé un sachet en papier [du restaurant] H______ à l'intérieur, puis il avait posé le sac par terre. Il avait ensuite pris sa veste et tous deux avaient quitté la chambre. À nouveau, lors de l'audience de confrontation du 6 avril 2022, il a affirmé avoir posé son sac sur son lit et avoir vu E______ "y mettre quelque chose" . Au vu de leur proximité dans la chambre d'hôtel, si E______ avait manipulé le sac de sport, l'appelant s'en serait rendu compte. Bien que l'instruction préliminaire ait été lacunaire, notamment quant à l'absence de photo du sac de sport, il n'en demeure pas moins que ce type de sac est en principe muni d'une fermeture. Dès lors, il n'est pas plausible que E______ ait réussi à manipuler le sac aussi rapidement et discrètement, en particulier sans aucun bruit, sans alerter A______, qui se tenait à brève distance et se serait tourné l'espace d'un instant pour accrocher sa veste. En outre, l'appelant soutient qu'il ne lui était pas venu à l'esprit de questionner son ami sur son sac [du restaurant] H______, pas plus qu'il ne s'était aperçu qu'il ne le portait plus en quittant la chambre. À nouveau, la version de l'appelant manque de crédibilité. Son récit se trouve affaibli par le fait qu'il a continué à affirmer que son sac de sport se trouvait toujours sur le lit lorsqu'ils avaient quitté la chambre, quand bien même la police l'a retrouvé dans l'armoire. Si l'appelant ne voulait pas être mêlé aux problèmes de son ami, comme il le prétend, il lui était loisible de quitter les lieux en emportant avec lui son sac de sport. S'il n'a posé aucune question, cela signifie qu'il avait bien compris, notamment au vu de ses antécédents, le genre de service qui lui était demandé. Par conséquent, il est établi que l'appelant a prêté son concours à E______, acceptant de cacher temporairement la drogue dans son sac de sport. Ces éléments sont suffisants pour un verdict de culpabilité à l'encontre de A______. Cependant, son rôle n'a été que secondaire. Lui reprocher une co-détention de la drogue excède la contribution qu'il a en réalité apportée. En effet, il avait déjà rendu la chambre d'hôtel, qu'il a certes ensuite relouée, mais pour le compte et à la demande expresse de son ami. À teneur des auditions, après que les deux comparses se soient retrouvés à la réception de l'hôtel, E______ s'est saisi de l'unique clé permettant d'accéder à la chambre. A______ ne pouvait dès lors plus y pénétrer sans son concours. Par conséquent, il doit être retenu que E______ a gardé la maîtrise de la drogue à titre principal. Cette interprétation se confirme aussi à travers certaines déclarations démontrant que A______ n'avait accepté au moment des faits de ne prêter son concours que de manière accessoire, n'assumant pas la même part de responsabilité. Il avait dit à E______, selon les dires de ce dernier, "qu'il s'agissait de sa responsabilité de garder ce sac dans la chambre". Enfin, seul l'ADN de E______ figure à l'extérieur des paquets de cocaïne. Partant, l'appelant sera reconnu coupable de complicité d'infraction grave à la loi fédérale sur les stupéfiants au sens des art. 25 CP cum 19 al. 1 let. d et al. 2 let. a LStup.</w:t>
      </w:r>
    </w:p>
    <w:p>
      <w:r>
        <w:rPr>
          <w:b/>
        </w:rPr>
        <w:t>E. 4.1</w:t>
      </w:r>
    </w:p>
    <w:p>
      <w:r>
        <w:t>L'infraction à l'art. 19 al. 1 let. d LStup est sanctionnée par une peine privative de liberté de trois ans au plus ou par une peine pécuniaire. Pour les cas aggravés (art. 19 al. 2 LStup), une peine privative de liberté d'un an au moins et de vingt ans au plus, doit être prononcée. Le séjour illégal (art. 115 al. 1 let. b LEI) est quant à lui puni d'une peine privative de liberté d'un an au plus ou d'une peine pécuniaire. 4.2.1.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En matière de trafic de stupéfiants, la jurisprudence a dégagé les précisions suivantes :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 arrêts du Tribunal fédéral 6B_843/2014 du 7 avril 2015 consid. 1.1.1 ; 6B_632/2014 du 27 octobre 2014 consid. 1.2). Le nombre d'opérations constitue un indice pour mesurer l'intensité du comportement délictueux ; celui qui écoule une fois un kilogramme de cocaïne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du 11 juillet 2013 consid. 1.2.2).</w:t>
      </w:r>
    </w:p>
    <w:p>
      <w:r>
        <w:rPr>
          <w:b/>
        </w:rPr>
        <w:t>E. 4.3</w:t>
      </w:r>
    </w:p>
    <w:p>
      <w:r>
        <w:t>La peine est impérativement atténuée à l'égard de quiconque a intentionnellement prêté assistance à l'auteur pour commettre un crime ou un délit (art. 25 CP ; ATF 143 IV 179 consid. 1.5.1).</w:t>
      </w:r>
    </w:p>
    <w:p>
      <w:r>
        <w:rPr>
          <w:b/>
        </w:rPr>
        <w:t>E. 4.4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 144 IV 217 consid. 3.5.1).</w:t>
      </w:r>
    </w:p>
    <w:p>
      <w:r>
        <w:rPr>
          <w:b/>
        </w:rPr>
        <w:t>E. 4.5</w:t>
      </w:r>
    </w:p>
    <w:p>
      <w:r>
        <w:t>Le séjour illégal est un délit continu. La condamnation en raison de ce délit opère cependant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 135 IV 6 consid. 4.2). Si les condamnations prononcées antérieurement atteignent ou dépassent cette limite, le prévenu est condamné à une peine de quotité nulle (ATF 145 IV 449 consid. 1.5 ss).</w:t>
      </w:r>
    </w:p>
    <w:p>
      <w:r>
        <w:rPr>
          <w:b/>
        </w:rPr>
        <w:t>E. 4.6</w:t>
      </w:r>
    </w:p>
    <w:p>
      <w:r>
        <w:t>En l'espèce, la faute de l'appelant n'est pas légère. Il a prêté son concours à un ami afin de cacher une importante quantité de cocaïne au taux de pureté particulièrement élevé. Au vu de ses antécédents spécifiques en matière de LStup, il était tout à fait conscient du risque pris. De surcroît, il possédait une entière liberté de choix, il lui était loisible de quitter la chambre d'hôtel avec son sac. Sa collaboration ne peut être considérée comme bonne, outre ses déclarations évolutives et son absence de remise en question dans les faits reprochés les plus graves. Sa prise de conscience est à peine ébauchée. Il semble que la peur de la prison soit le seul motif qui lui a fait se rendre compte, en définitive, de la gravité de la situation. Il a de nombreux antécédents spécifiques en matière de LStup et de LEI. L'appelant ne remet pas en cause le genre de la peine prononcée. Dans tous les cas, il convient de confirmer le choix retenu par les premiers juges, que ce soit pour l'infraction à la LStup ou le séjour illégal, étant donné que ses précédentes condamnations à des peines pécuniaires n'ont pas eu l'effet dissuasif escompté et qu'il ne bénéficie d'aucune source de revenu permettant d'espérer le recouvrement d'une telle peine. L'infraction à la LStup (art. 19 al. 1 let. d et al. 2 let. a) est abstraitement la plus grave. Au vu de ce qui précède, et prenant en compte la participation de l'appelant dans le trafic comme complice, il convient de prononcer pour ce chef une peine privative de liberté d'un an, laquelle constitue la peine de base. Cette peine ne saurait cependant être aggravée pour tenir compte du séjour illégal, dans la mesure où l'addition des peines prononcées lors de ses précédentes condamnations pour cette même infraction a déjà atteint le maximum légal, à l'instar de sa dernière condamnation pour séjour illégal (jugement du TP du 26 mars 2021). Partant, aucune peine additionnelle ne sera prononcée à ce titre. La détention avant jugement sera déduite de la peine prononcée (art. 51 CP) et l'appelant débouté de ses conclusions en indemnisation (art. 429 al. 1 let. c CPP).</w:t>
      </w:r>
    </w:p>
    <w:p>
      <w:r>
        <w:rPr>
          <w:b/>
        </w:rPr>
        <w:t>E. 5</w:t>
      </w:r>
    </w:p>
    <w:p>
      <w:r>
        <w:t>L'expulsion de Suisse de l'appelant, avec signalement dans le système d'information Schengen (SIS), a été prononcée par les premiers juges pour une durée de sept ans en application de l'art. 66a al. 1 let. o CP qui dispose que le juge expulse un étranger du territoire suisse pour une durée de cinq à quinze ans notamment s'il est reconnu coupable d'infraction à l’art. 19 al. 2 LStup. Elle n'est pas remise en cause en appel et, prononcée à bon droit, doit être confirmée.</w:t>
      </w:r>
    </w:p>
    <w:p>
      <w:r>
        <w:rPr>
          <w:b/>
        </w:rPr>
        <w:t>E. 6</w:t>
      </w:r>
    </w:p>
    <w:p>
      <w:r>
        <w:t>L'appelant sera condamné aux deux tiers des frais de la procédure d'appel, lesquels comprennent un émolument de CHF 1'500.-, et le solde laissé à charge de l'État. Le point sur lequel il obtient gain de cause n'entraîne pas une modification de la répartition des frais de première instance (art. 428 CPP ; arrêts du Tribunal fédéral 6B_415/2021 du 11 octobre 2021 consid. 7.3 ; 6B_460/2020 du 10 mars 2021 consid. 10.3.1).</w:t>
      </w:r>
    </w:p>
    <w:p>
      <w:r>
        <w:rPr>
          <w:b/>
        </w:rPr>
        <w:t>E. 7.1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Conformément à l'art. 16 al. 2 RAJ, seules les heures nécessaires sont retenues. Elles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apparaît raisonnablement nécessaire à l'accomplissement du mandat par un avocat expérimenté. On exige de l'avocat qu'il soit expéditif et efficace dans son travail et qu'il concentre son attention sur les points essentiels. Des démarches superflues ou excessives n'ont pas à être indemnisées (arrêt du Tribunal fédéral 6B_1362/2021 du 26 janvier 2023 [destiné à publication] consid. 3.1.1).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Il en va de même d'autres documents ne nécessitant pas ou peu de motivation ou autre investissement particulier en termes de travail juridique, à l'instar de la déclaration d'appel (ordonnance de la Cour des plaintes du Tribunal pénal fédéral BB.2014.51 du 21 novembre 2014 consid. 2.1 ; décisions de la Cour des plaintes du Tribunal pénal fédéral BB.2013.165 du 24 janvier 2014 consid. 4.1.3 et BB.2013.127 du 4 décembre 2013 consid. 4.2).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les collaborateurs, dite rémunération étant allouée d'office par la juridiction d'appel pour les débats devant elle.</w:t>
      </w:r>
    </w:p>
    <w:p>
      <w:r>
        <w:rPr>
          <w:b/>
        </w:rPr>
        <w:t>E. 7.2</w:t>
      </w:r>
    </w:p>
    <w:p>
      <w:r>
        <w:t>En l'occurrence, il convient de retrancher de l'état de frais de la défenseure d'office le temps consacré à l'étude du jugement motivé (une heure et 30 minutes) et à la rédaction de la déclaration d'appel (45 minutes), ces activités étant couvertes par le forfait. De même, la seconde consultation du dossier sera écartée, un téléphone au greffe de la CPAR aurait permis de s'assurer qu'aucun élément nouveau n'avait été versé au dossier. De surcroît, la durée de l'activité consacrée par la collaboratrice à la préparation de l'audience (neuf heures et 15 minutes) est excessive, dans la mesure où le dossier, connu de l'avocate, avait été plaidé il y a peu en première instance, et ne contenait aucun élément nouveau. Partant, ce poste sera réduit à cinq heures, soit l'équivalent d'environ une demi-journée de travail. Enfin, la majoration forfaitaire sera arrêtée à 10% au vu du nombre d'heures indemnisées en première instance. En conclusion, la rémunération de la défenseure d'office sera arrêtée à CHF 2'124.40, correspondant à 11 heures et 30 minutes d'activité au tarif de CHF 150.-/heure (CHF 1'725.-) plus la majoration forfaitaire de 10% (CHF 172.50), une vacation (CHF 75.-) et la TVA au taux de 7.7% (CHF 151.90).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