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P/6345/2017 vom 26. Januar 2018</w:t>
      </w:r>
    </w:p>
    <w:p>
      <w:r>
        <w:t>GE Cour de justice, 2018-01-26, FR</w:t>
      </w:r>
    </w:p>
    <w:p>
      <w:r>
        <w:rPr>
          <w:b/>
        </w:rPr>
        <w:t xml:space="preserve">Quelle: </w:t>
      </w:r>
      <w:r>
        <w:t>https://mcp.opencaselaw.ch/entscheid/ge_gerichte_P_6345_2017</w:t>
      </w:r>
    </w:p>
    <w:p>
      <w:r>
        <w:t>FR: GE_GERICHTE P/6345/2017 du 26 janvier 2018</w:t>
      </w:r>
    </w:p>
    <w:p>
      <w:r>
        <w:t>IT: GE_GERICHTE P/6345/2017 del 26 gennaio 2018</w:t>
      </w:r>
    </w:p>
    <w:p>
      <w:pPr>
        <w:pStyle w:val="Heading2"/>
      </w:pPr>
      <w:r>
        <w:t>Regeste</w:t>
      </w:r>
    </w:p>
    <w:p>
      <w:r>
        <w:t>IN DUBIO PRO REO ; COAUTEUR(DROIT PÉNAL) ; VOL(DROIT PÉNAL) ; VIOLATION DE DOMICILE ; DOMMAGES À LA PROPRIÉTÉ(DROIT PÉNAL) ; EXPULSION(DROIT PÉNAL) ; FIXATION DE LA PEINE ; SURSIS À L'EXÉCUTION DE LA PEINE ; CONCOURS D'INFRACTIONS ; LEX MITIOR | CP.139; CP.144; CP.186; LEtr.115.al1.letb; LStup.19.ala; CP.66bis.al1.letd; CP.47; CP.49; CP.2; CP.42.al1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3.1. Le premier juge a retenu qu'il subsistait un doute quant à l'intention dans laquelle l'intimé avait pénétré dans la villa du plaignant G______, dès lors que celui-là avait été constant dans ses dénégations à cet égard et que la durée de la présence sur place des deux protagonistes, avant l'arrivée de la police, soit 20 minutes, tendait à corroborer leur version commune de la recherche d'un abri pour la nuit, quand bien même la présence d'un matelas n'était pas prouvée. Il en allait de même du fait qu'aucun autre objet que la menue monnaie, dérobée par D______, n'avait été subtilisé. 2.3.2. Il est incontestable que l'intimé séjourne en Suisse dans la précarité faute de statut administratif et de point d'ancrage, sans préjudice de sa toxicomanie. Il a certes évoqué une compagne à H______, enceinte de ses œuvres, auprès de laquelle il passait régulièrement la nuit, mais l'existence de cette femme et de sa grossesse sont pour le moins douteuses ( cf. infra consid. 3.3.1) ; de même, la vague évocation d'un squat , manifestement dans le but de justifier la présence d'argent dissimulé dans une chaussette, n'emporte pas conviction ou, à tout le moins, ne suffit pas pour établir une possibilité de logement régulier. Or, on ne saurait, comme le suggère le MP, prendre l'intimé au mot, sous prétexte que cela lui est défavorable. Il ne résulte pas du dossier, et il n'est pas soutenu, que D______ était dans une situation plus stable. On ne peut ignorer que les deux hommes, interrogés séparément par la police, ont avancé la même justification à leur présence dans la villa, encore qu'ils ont pu s'entendre rapidement sur ce point au moment où ils ont réalisés que l'intervention de la police était en cours. Il est ainsi, dans une certaine mesure du moins, crédible que l'un comme l'autre étaient à la recherche d'un abri pour la nuit. Il est cependant au moins autant crédible qu'ils étaient déterminés à voler, étant rappelé que l'un d'eux a effectivement subtilisé de l'argent, que la précarité sus-évoquée leur confère un mobile et que, au mois de mars 2017 en tout cas, l'intimé n'était pas rétif à s'en prendre au patrimoine d'autrui, vu le vol commis quelques jours plus tard, dans un établissement public. Le fait qu'aucun autre objet appartenant au plaignant G______ n'ait été retrouvé sur l'un ou l'autre des deux protagonistes n'est pas dirimant, dans la mesure où on ignore si d'autres espèces, ou au moins d'autres biens susceptibles d'être facilement emportés et écoulés – ce qui n'est pas le cas d'" ordinateurs " – se trouvaient sur place. De toute façon, il se peut fort bien que l'intervention de la police ait empêché les deux hommes d'aller plus loin. Le détail des portes de commode ouvertes signalé par la policière entendue tend aussi à soutenir la thèse de l'intention de voler. Ce qui conduit à aborder la question de la durée de la présence sur place des deux hommes, soit une vingtaine de minutes au moment de l'arrivée de la police. Il est vrai que des cambrioleurs expérimentés agissent en principe avec rapidité, souvent en quelques minutes seulement, s'emparant des valeurs immédiatement disponibles pour aussitôt quitter les lieux, afin de limiter les risques. Pour autant, rien ne permet d'exclure que des hommes moins avertis agissent imprudemment et/ou inefficacement. L'intimé, qui se plait à souligner son absence d'expérience en la matière, et dont la toxicomanie peut amoindrir l'habileté, a fort bien pu prendre du temps pour fouiller les lieux. Cela est d'ailleurs d'autant plus possible que, comme déjà dit, rien n'indique que d'autres espèces que les quelques CHF 15.- empochés par D______ ou valeurs comparables étaient présentes. Les deux hommes ont ainsi pu consacrer un certain temps à la vaine recherche d'objets à dérober. Le dossier ne contient guère d'indications quant à l'aspect, extérieur ou intérieur, de la villa de la partie plaignante, si ce n'est l'appréciation de la gendarme entendue comme témoin, qui a qualifié le salon de vieillot, ce qui pourrait, à la rigueur, aller dans le sens d'une maison abandonnée, mais est un indice faible, qui ne fait pas le poids face à la présence notamment d'ordinateurs. D'ailleurs, confronté à cet élément, l'intimé a affirmé qu'il s'était dit qu'il n'y avait peut-être personne à ce moment-là, ce qui revient à concéder qu'il ne croyait pas que la maison était inoccupée. Le témoin n'a en outre pas confirmé la présence d'un matelas. Il est peu probable qu'un tel détail aurait pu lui échapper dans l'obscurité, alors que l'intéressée a par ailleurs observé que des portes de commode avaient été ouvertes mais que le contenu n'en avait pas été vidé, et il est permis de supposer que la police aurait dans son rapport confirmé l'existence de la couche improvisée, vu les déclarations de l'intimé. En outre, le récit du prévenu reste peu compréhensible. Il n'est pas clair s'il affirme s'être rendu sur place porteur d'un matelas, ce qui parait hautement improbable, ou si la pièce de literie est censée avoir été déplacée dans la maison, alors que D______ n'en a pas parlé, et que les deux hommes auraient pu tout aussi bien se coucher sur un lit. Certes, la défense a affirmé qu'il était plus prudent de se coucher au salon plutôt que dans une chambre, en prévision d'une éventuelle arrivée impromptue, mais admettre ce raisonnement revient à nier la thèse de la maison abandonnée. En conclusion, des indices retenus à décharge par le premier juge, seul celui d'une plausible intention de rechercher un abri pour la nuit pourrait résister à l'examen, et il se heurte au fait que l'intention de voler est tout aussi crédible. Pour le reste, force est de constater que l'intimé et son comparse ont pénétré par effraction dans une maison meublée et garnie, dont rien ne permet donc de penser qu'elle était abandonnée ni même durablement inoccupée, qu'ils s'y s'ont attardés, se livrant à une fouille au moins partielle, et que le second s'est emparé de la monnaie déposée sur un bureau. Ces éléments, associés aux circonstances personnelles, établissent, au-delà de tout doute raisonnable, qu'ils ont pénétré dans la villa dans le but de voler et non de s'y installer pour la nuit. L'infraction de vol doit en outre être tenue pour achevée en ce qui concerne l'intimé également, quand bien même il n'a pas été trouvé porteur de valeurs subtilisées, dès lors que les deux hommes ont clairement agi en qualité de coauteurs, de sorte que leurs agissements respectifs leur sont imputables à tous deux, étant en particulier rappelé que c'est ce prévenu qui a rompu la vitre et qu'il n'est pas resté à l'extérieur pendant que son comparse agissait. 2.3.3. L'appel du MP est partant admis sur ce point et le jugement entrepris réformé.</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3.2.1.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L'art. 2 CP ne permet en revanche pas à l'auteur de bénéficier, le cas échéant, d'une loi plus favorable qui n'était pas en vigueur au moment où il a commis l'infraction et qui ne l'est plus au moment où il est mis en jugement. Pour déterminer quel est le droit le plus favorable, il y a lieu d'examiner l'ancien et le nouveau droit dans leur ensemble et de comparer les résultats auxquels ils conduisent dans le cas concret (ATF 134 IV 82 consid. 6.2.1 p. 87).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Si les peines à prononcer en application de l'ancien et du nouveau droit dans le cas concret sont du même genre, le juge doit, alors, tenir compte des différences que l'un et l'autre présentent dans les modalités d'exécution de cette peine. Par modalités d'exécution, il faut entendre aussi bien les possibilités d'obtenir le sursis, intégral ou partiel (ATF 134 IV 82 consid. 7.1 p. 89), que celles d'obtenir la suspension de l'exécution de la peine en faveur de l'exécution d'une mesure prioritaire. Toutes les règles applicables doivent cependant être prises en compte, notamment celles relatives à la prescription et, le cas échéant, au droit de porter plainte (ATF 134 IV 82 consid. 6.2.1 p. 87 ; 126 IV 5 consid. 2c p. 8 et les arrêts cités).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Lorsque l'auteur a commis plusieurs actes punissables indépendants, il y a lieu d'examiner pour chacun d'eux quel est le droit le plus favorable (ATF 134 IV 82 consid. 6.2.3 p. 89 ; ATF 102 IV 196 ; arrêt du Tribunal fédéral 6B_310/2014 du 23 novembre 2015 consid. 4.1.1 in SJ 2016 I 414). 3.2.2. Le droit en vigueur lors des faits connaissait notamment, aux côtés de la peine privative de liberté (art. 40 al. 1 aCP), l'institution de la peine pécuniaire jusqu'à 360 jours-amende (art. 34 al. 1 aCP). S'il était admis par la doctrine que la courte peine privative de liberté (jusqu'à six mois) était reléguée au rang de peine dite de "substitution" (art. 41 al. 1 et 2 CP), il n'en était pas de même des peines supérieures, jusqu'à une anné, l'art. 40 al. 1 aCP concevant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 Berne 2006, ch. II lit. B p. 201). Le juge devait néanmoins donner la préférence à la peine pécuniaire. En effet, le principe de la proportionnalité commandait, en cas de sanctions alternatives, de choisir celle qui portait le moins atteinte à la liberté personnelle de l'intéressé ou qui le frappait le moins durement. Pour choisir la nature de la peine, le juge devait prendre en considération l'opportunité de la sanction déterminée, ses effets sur l'auteur et son milieu social, ainsi que son efficacité préventive (ATF 134 IV 82 consid. 4.1 p. 84). 3.2.3. Le premier janvier 2018 sont entrées en vigueur de nouvelles dispositions du code pénal, avec, pour conséquence, notamment, que la peine-pécuniaire ne peut désormais excéder 180 jours-amende (art. 34 al. 1 CP). 3.3.1. En l'espèce, la faute de l'intimé est lourde, davantage encore que ne l'avait retenu le premier juge, puisqu'il a commis deux vols – et non un seul – en l'espace de quelques jours, accompagné pour l'un de dommages à la propriété et violation de domicile, à quoi s'ajoutent le séjour illégal et la consommation de stupéfiants et étant observé qu'un cambriolage est particulièrement pénible à vivre, le lésé étant atteint en son foyer, lieu où il est censé être en sécurité et qui est le siège de son intimité. S'il est vrai que le dommage est relativement modeste et exclusivement matériel s'agissant des premières infractions citées – ce qui est le propre des telles infractions – cela s'explique sans doute plus par le fait qu'il n'y avait pas plus à subtiliser dans la maison cambriolée, à tout le moins aisément et rapidement, ou dans le sac volé le 19 mars 2017, que par un quelconque égard pour les parties plaignantes. Par ailleurs, il ne faut pas sous-estimer le préjudice pour la collectivité du séjour illégal, y compris au plan matériel, puisque cela mobilise constamment les nombreux acteurs appelés à le réprimer. L'intimé persiste à séjourner illégalement en Suisse, d'où la précarité de sa situation. Vu sous cet angle, son mobile est égoïste, tenant, directement ou indirectement, à son mépris des règles sur le séjour des étrangers et plus généralement des règles régissant la vie sociale, telle la garantie de la propriété. Il faut toutefois tempérer ce constat par le fait que la toxicomanie de l'intéressé ajoute sans doute à cette précarité et est à l'origine de la contravention à la LStup. A cet égard, il sied d'emblée de préciser que le premier juge n'a, manifestement par inadvertance, pas fait de distinction entre cette dernière infraction et les autres (retenues par lui), alors que celle-là n'est passible que d'une amende. La collaboration de l'intéressé ne peut être qualifiée de bonne puisqu'il a constamment nié le premier vol. Il n'y a aucune manifestation sérieuse d'une prise de conscience durant la procédure. En ce qui concerne sa situation personnelle, il y a la précarité déjà évoquée, liée à l'entêtement du condamné à demeurer en Suisse, et la toxicomanie. Il faut encore tenir compte de l'existence d'un enfant. A cet égard on ne peut que relever que l'intimé n'est pas crédible lorsqu'il met en avant un lien avec sa fille alors qu'il affirmait initialement n'avoir que peu de contacts avec elle et qu'aucun indice, même tenu, ne vient étayer l'affirmation selon laquelle un rapprochement avec l'enfant (et sa mère) aurait pu avoir lieu et des démarches en vue d'une reconnaissance initiées. Il faut donc retenir qu'il ne s'agit que d'un prétexte pour justifier le refus de quitter la Suisse. Dans le même ordre d'idée, l'existence d'une compagne, enceinte, résidant à H______, ou d'une ex-amie à J______ ne sont ni établies ni crédibles, faute d'éléments plus précis. Ici encore, l'intimé semble surtout chercher des prétextes exclusivement aux fins de sa défense (il cherchait, le 11 mars 2017, un endroit où dormir parce qu'il s'était disputé avec sa copine de H______ ; il avait volé un sac une semaine plus tard parce qu'il était déprimé suite à la rupture d'avec celle de J______). Les antécédents sont mauvais, nombreux, et spécifiques s'agissant des infractions à la LEtr et à la LStup. L'intimé ne semble en avoir tiré aucune leçon, au contraire, puisqu'il est passé à l'échelon supérieur en se livrant aux vols. Il y a concours d'infractions sauf avec l'infraction à la LStup, passible d'une amende, l'infraction la plus grave consistant en l'un des deux vols et aurait justifié, à elle seule, une peine de l'ordre de quatre mois, qu'il convient d'augmenter, dans une juste proportion, compte tenu des autres infractions, y compris un second vol, d'où une peine de l'ordre de huit mois. Celle-ci doit cependant être réduite, s'agissant d'une peine complémentaire, de sorte que la quotité de la sanction (hors amende) sera en définitive arrêtée à sept mois. 3.3.2. Vu ce résultat, il convient de choisir le genre de peine en application de l'ancien droit, car le droit actuellement en vigueur exclurait d'emblée le prononcé d'une peine pécuniaire, le plafond de 180 jours étant dépassé. Il faut admettre, au regard des critères rappelés ci-dessus (consid. 3.2.2 in fine ), qu'une peine pécuniaire ne saurait entrer en considération, faute d'effet dissuasif, étant rappelé que l'intimé en a déjà fait l'expérience, sans résultat. Au demeurant, une telle peine n'est pas appropriée à la situation personnelle de l'intimé dépourvu de toute source de revenu licite. Il faut donc prononcer une peine privative de liberté. 3.3.3. S'y ajoutera une amende de CHF 100.- (peine privative de liberté de substitution : un jour) pour la consommation de stupéfiants.</w:t>
      </w:r>
    </w:p>
    <w:p>
      <w:r>
        <w:rPr>
          <w:b/>
        </w:rPr>
        <w:t>E. 4</w:t>
      </w:r>
    </w:p>
    <w:p>
      <w:r>
        <w:t>4.1. Aux termes de l'art. 42 al. 1 CP (que se soit dans la teneur antérieure au premier janvier 2018 ou dans la teneur actuelle), le juge suspend en règle générale l'exécution d'une peine privative de liberté de six mois au moins et de deux ans au plus lorsqu'une peine ferme ne paraît pas nécessaire pour détourner l'auteur d'autres crimes ou délits. Sur le plan subjectif, le juge doit poser, pour l'octroi du sursis, comme du sursis partiel (art. 43 CP)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L'absence de récidive durant l'année précédant l'arrêt attaqué n'est pas pertinente, dès lors qu'un tel comportement correspond à ce que l'on doit pouvoir attendre de tout un chacun (arrêts du Tribunal fédéral 6B_740/2016 du 2 juin 2017 consid. 2.2 et les références).</w:t>
      </w:r>
    </w:p>
    <w:p>
      <w:r>
        <w:rPr>
          <w:b/>
        </w:rPr>
        <w:t>E. 4.2</w:t>
      </w:r>
    </w:p>
    <w:p>
      <w:r>
        <w:t>En l'occurrence, le MP a remis en cause dans son réquisitoire le sursis prononcé par le premier juge alors qu'à lire sa déclaration d'appel, ce point n'était pas contesté – du moins n'est-il pas évoqué –. Quoi qu'il en soit, la juridiction d'appel estime que l'intimé peut encore, de justesse, prétendre au sursis, étant souligné que la condition objective de l'absence de condamnation à une peine de 180 jours au moins (art. 42 al. 2 aCP a contrario ) est réalisée, la condamnation du 23 mars 2017 étant postérieure aux infractions à l'origine de la présente procédure. En effet, si le casier judiciaire de l'intimé est chargé, sa situation précaire, sans guère d'espoir d'amélioration sauf départ de Suisse, et si son entêtement à y rester est annonciateur de nouvelles infractions à la LEtr, il faut aussi tenir compte de ce que l'intimé n'a pas d'antécédents spécifiques en matière d'infractions contre la propriété et le patrimoine de sorte qu'on ne peut sans autre affirmer que la récidive de ce type de délits est probable. Dans ces circonstances, il n'y aurait en tout état pas lieu de réformer le jugement sur ce point, indépendamment du libellé de la déclaration d'appel.</w:t>
      </w:r>
    </w:p>
    <w:p>
      <w:r>
        <w:rPr>
          <w:b/>
        </w:rPr>
        <w:t>E. 5</w:t>
      </w:r>
    </w:p>
    <w:p>
      <w:r>
        <w:t>5.1. Conformément à l'art. 66a al. 1 CP, le juge expulse un étranger du territoire suisse pour une durée de cinq à quinze ans s'il est reconnu coupable de l'une des infractions énumérées aux let. a à o, soit notamment le vol en lien avec une violation de domicile (let. d).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 AARP/119/2017 du 20 mars 2017 consid. 4.1).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 OARP/12/2017 du 7 février 2017 consid. 2.4.4 ; arrêt du Tribunal fédéral 2C_695/2016 du 1 er décembre 2016 consid. 5.2). Seule l'existence d'atteintes graves aux droits personnels peut justifier l'exception à l'expulsion obligatoire (Michel DUPUIS et al., Petit Commentaire - CP , 2 ème éd., Bâle 2017, note 7 ad art 66a). 5.2.1. L'intimé s'étant en définitive bien rendu coupable de vol (en sus du dommage à la propriété et de la violation de domicile) le 11 mars 2017, son expulsion doit en principe être prononcée (art. 66a al. 1 let. d CP). Contrairement à ce qu'il soutient, malgré la durée de son séjour – irrégulier – en Suisse, l'intimé ne peut prétendre échapper à la mesure. Son intégration est en effet nulle, faute de domicile, travail, ou d'attaches autres que celle que pourrait constituer la présence de sa fille, l'intéressé ayant rompu avec la mère de l'enfant et n'ayant pas rendu plausible l'existence d'une autre relation, encore moins une relation sérieuse. Or, comme déjà retenu plus haut, l'intimé ne semble pas avoir de liens véritables avec son enfant, avec laquelle il a initialement déclaré n'avoir que peu de contacts. Certes, il prétend désormais la voir régulièrement et avoir entrepris de la reconnaitre, mais il n'a pas donné la moindre précision, ni fourni la moindre pièce susceptible de corroborer ces affirmations. Dans de telles circonstances, il n'y a pas de marge de manœuvre permettant de renoncer au prononcé de l'expulsion. 5.2.2. Sans développer davantage, le condamné s'est encore plaint de ce que son comparse D______ avait échappé à cette mesure. Certes, mais il est seul responsable de cette situation, pour avoir fait opposition, en définitive à tort, à l'ordonnance pénale du MP. 5.2.3. L'appel doit donc être admis sur ce point également.</w:t>
      </w:r>
    </w:p>
    <w:p>
      <w:r>
        <w:rPr>
          <w:b/>
        </w:rPr>
        <w:t>E. 6</w:t>
      </w:r>
    </w:p>
    <w:p>
      <w:r>
        <w:t>L'intimé, qui succombe, supportera les frais de la procédure envers l'Etat (art. 428 CPP), comprenant un émolument de CHF 1'200.- (art. 14 let. e du règlement fixant le tarif des frais en matière pénale du 22 décembre 2010 [RTFMP - E 4 10.03]).</w:t>
      </w:r>
    </w:p>
    <w:p>
      <w:r>
        <w:rPr>
          <w:b/>
        </w:rPr>
        <w:t>E. 7</w:t>
      </w:r>
    </w:p>
    <w:p>
      <w:r>
        <w:t>Conformément aux art. 135 al. 1 CPP, et 16 du règlement sur l'assistance juridique du 28 juillet 2010 (RAJ ; E 2 05.04), M e B______, défenseure d'office de l'intimé, se verra allouer une indemnité de CHF 756.-, pour deux heures trente d'activité de cheffe d'étude (CHF 500.-), le forfait couvrant l'activité diverse de moins de 30 heures pour l'ensemble de la procédure, par 20% (CHF 100.-), le déplacement à et de l'audience (CHF 100.-), et la TVA, au taux de 8%, selon la pratique transitoire du Pouvoir judiciaire (CHF 48.-).</w:t>
      </w:r>
    </w:p>
    <w:p>
      <w:r>
        <w:rPr>
          <w:b/>
        </w:rPr>
        <w:t>E. 8</w:t>
      </w:r>
    </w:p>
    <w:p>
      <w:r>
        <w:t>Pour plus de clarté, le dispositif du jugement sera entièrement annulé et reformulé.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