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P/6342/2021 vom 20. Oktober 2021</w:t>
      </w:r>
    </w:p>
    <w:p>
      <w:r>
        <w:t>GE Cour de justice, 2021-10-20, FR</w:t>
      </w:r>
    </w:p>
    <w:p>
      <w:r>
        <w:rPr>
          <w:b/>
        </w:rPr>
        <w:t xml:space="preserve">Quelle: </w:t>
      </w:r>
      <w:r>
        <w:t>https://mcp.opencaselaw.ch/entscheid/ge_gerichte_P_6342_2021</w:t>
      </w:r>
    </w:p>
    <w:p>
      <w:r>
        <w:t>FR: GE_GERICHTE P/6342/2021 du 20 octobre 2021</w:t>
      </w:r>
    </w:p>
    <w:p>
      <w:r>
        <w:t>IT: GE_GERICHTE P/6342/2021 del 20 ottobre 2021</w:t>
      </w:r>
    </w:p>
    <w:p>
      <w:pPr>
        <w:pStyle w:val="Heading2"/>
      </w:pPr>
      <w:r>
        <w:t>Regeste</w:t>
      </w:r>
    </w:p>
    <w:p>
      <w:r>
        <w:t>ESCROQUERIE;GESTION DÉLOYALE | CPP.310; CP.146; CP.158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À titre liminaire, la Chambre de céans constate que le recourant ne remet pas en cause l'ordonnance querellée en tant qu'il a été décidé de ne pas entrer en matière sur les faits potentiellement constitutifs de tentative de contrainte (art. 22 cum 181 CP). Ce point n'est plus litigieux de sorte qu'il ne sera pas examiné ici (art. 385 al. 1 let. a CPP).![endif]&gt;![if&gt;</w:t>
      </w:r>
    </w:p>
    <w:p>
      <w:r>
        <w:rPr>
          <w:b/>
        </w:rPr>
        <w:t>E. 3</w:t>
      </w:r>
    </w:p>
    <w:p>
      <w:r>
        <w:t>Dès lors que la Chambre de céans jouit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 ![endif]&gt;![if&gt; Partant, le grief y relatif sera rejeté.</w:t>
      </w:r>
    </w:p>
    <w:p>
      <w:r>
        <w:rPr>
          <w:b/>
        </w:rPr>
        <w:t>E. 4</w:t>
      </w:r>
    </w:p>
    <w:p>
      <w:r>
        <w:t>Le recourant estime qu'il existe une prévention suffisante du chef d'escroquerie (art. 146 CP) et de gestion déloyale (art. 158 CP).![endif]&gt;![if&gt;</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w:t>
      </w:r>
    </w:p>
    <w:p>
      <w:r>
        <w:rPr>
          <w:b/>
        </w:rPr>
        <w:t>E. 4.2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 C. PERRIER DEPEURSINGE (éds), Commentaire romand : Code de procédure pénale suisse , Bâle 2019, n. 9 ad art. 310; R. PFISTER-LIECHTI (éd.), La procédure pénale fédérale , Fondation pour la formation continue des juges suisses , Berne 2010, p. 62).</w:t>
      </w:r>
    </w:p>
    <w:p>
      <w:r>
        <w:rPr>
          <w:b/>
        </w:rPr>
        <w:t>E. 4.3</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4.3.1</w:t>
      </w:r>
    </w:p>
    <w:p>
      <w:r>
        <w:t>La loi envisage trois formes différentes de tromperie : les affirmations fallacieuses ; la dissimulation de faits vrais ; et le fait de conforter autrui dans son erreur (A. MACALUSO / L. MOREILLON / N. QUELOZ (éds), Commentaire romand, Code pénal II, vol. II, Partie spéciale, Bâle 2017 , n. 13 ss ad art. 146).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Ainsi, celui qui conclut un contrat manifeste sa volonté de l'exécuter ; cette volonté constitue un fait – relevant du for intérieur – sur lequel autrui est susceptible d'être trompé (ATF 147 IV 73 consid. 3.1 p. 77 s. et les références citées).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(cf. not. arrêt du Tribunal fédéral 6B_1050/2019 du 20 novembre 2019 consid. 4.1 et les références citées). Quant au troisième comportement prévu par la loi, il se distingue des deux précédents en ce sens que l'erreur est préexistante (arrêt du Tribunal fédéral 6B_718/2018 du 15 mars 2019 consid. 4.3.1).</w:t>
      </w:r>
    </w:p>
    <w:p>
      <w:r>
        <w:rPr>
          <w:b/>
        </w:rPr>
        <w:t>E. 4.3.2</w:t>
      </w:r>
    </w:p>
    <w:p>
      <w:r>
        <w:t>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p. 78 s. ; 142 IV 153 consid. 2.2.2 p. 154 s. ;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 conclusion d'un contrat suppose en effet qu'on prête à son cocontractant un minimum d'honnêteté et qu'on ne le traite pas avec une méfiance de principe (ATF 147 IV 73 consid. 3.2 p. 79 s.). L'astuce n'est exclue que si la dupe n'a pas procédé aux vérifications élémentaires que l'on pouvait attendre d'elle au vu des circonstances, notamment compte tenu de son degré d'expérience dans le domaine concerné (ATF 135 IV 76 consid. 5.2 p. 80 s. ; arrêt du Tribunal fédéral 6B_977/2018 du 27 décembre 2018 consid. 1.1). Une coresponsabilité de la dupe n'exclut toutefois l'astuce que dans des cas exceptionnels, soit lorsque son imprudence fait passer le comportement frauduleux de l'auteur au second plan (ATF 147 IV 73 consid. 3.2 p. 80 ; 142 IV 153 consid. 2.2.2 p. 155 ; 135 IV 76 consid. 5.2 p. 81 ; arrêt du Tribunal fédéral 6B_212/2020 du 21 avril 2021 consid. 2.4).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147 IV 73 consid. 3.2 p. 79 ; 128 IV 18 consid. 3a p. 21 ; arrêt du Tribunal fédéral 6B_1010/2018 du 22 janvier 2019 consid. 3.3.1).</w:t>
      </w:r>
    </w:p>
    <w:p>
      <w:r>
        <w:rPr>
          <w:b/>
        </w:rPr>
        <w:t>E. 4.4</w:t>
      </w:r>
    </w:p>
    <w:p>
      <w:r>
        <w:t>), l'on ne saurait retenir que le mis en cause aurait manqué à son devoir de gestion dès lors qu'il a effectué les démarches nécessaires à la valorisation de G______ et qu'il n'est pas responsable du fait que les ventes des juments n'aient pas abouti. Pour les mêmes raisons, le fait que les animaux n'aient plus de valeur à ce jour ne permet pas non plus de retenir, a posteriori , la violation d'un quelconque devoir de gestion. Sur ce point, hormis les déclarations et convictions du recourant, le dossier ne recèle aucun indice concret laissant supposer que la perte de valeur des juments ne serait pas consécutive à leurs maladies et/ou blessures respectives ou encore que le mis en cause serait responsable de ces évènements. Il en va de même s'agissant des revenus que le mis en cause aurait réalisés grâce aux chevaux, et dont il n'aurait pas rendu compte au recourant. Enfin, rien ne permet de retenir que le mis en cause aurait intentionnellement porté préjudice au patrimoine du recourant, ce d'autant plus que cela impliquerait qu'il aurait aussi lésé le patrimoine de C______ Sàrl, dont ses filles étaient les bénéficiaires.</w:t>
      </w:r>
    </w:p>
    <w:p>
      <w:r>
        <w:rPr>
          <w:b/>
        </w:rPr>
        <w:t>E. 4.5</w:t>
      </w:r>
    </w:p>
    <w:p>
      <w:r>
        <w:t>. Le recourant reproche enfin au mis en cause de s'être rendu coupable de gestion déloyale. 4.6.1. L'art. 158 ch. 1 al. 1 CP punit, du chef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Cette disposition suppose la réalisation de quatre conditions : il faut que l'auteur ait eu une position de gérant, qu'il ait violé une obligation lui incombant en cette qualité, qu'il en soit résulté un préjudice et qu'il ait agi intentionnellement (ATF 120 IV 190 consid. 2b p. 192 ; arrêts du Tribunal fédéral 6B_136/2017 du 17 novembre 2017 consid. 4.1 ; 6B_949/2014 du 6 mars 2017 consid. 12.1). 4.6.2. Pour apprécier le comportement de l'auteur dans le cadre de l'art. 158 CP, il faut tenir compte des risques nécessairement inhérents à la gestion d'intérêts pécuniaires et à la vie des affaires en général. Tant que la prise de risque assumée par le gérant demeure conforme aux règles applicables, il est exclu de parler de violation d'un devoir de gestion. Une telle violation ne saurait être admise du seul fait que le comportement adopté par le gérant s'avère ultérieurement préjudiciable. Au contraire et comme le résume clairement le Message du Conseil fédéral, l'art. 158 CP n'est censé punir que les comportements impliquant une prise de risque " qu'un gérant d'affaires avisé n'aurait jamais pris dans la même situation ", et ce, compte tenu d'une appréciation ex ante du comportement considéré (M. DUPUIS / L. MOREILLON / C. PIGUET / S. BERGER / M. MAZOU / V. RODIGARI (éds), Code pénal - Petit commentaire , 2e éd., Bâle 2017, n. 21 ad art. 158).</w:t>
      </w:r>
    </w:p>
    <w:p>
      <w:r>
        <w:rPr>
          <w:b/>
        </w:rPr>
        <w:t>E. 4.7</w:t>
      </w:r>
    </w:p>
    <w:p>
      <w:r>
        <w:t>La question de savoir si le mis en cause, en l'occurrence, revêt la qualité de gérant peut demeurer indécise, compte tenu de ce qui suit. Ainsi que cela ressort des considérations qui précèdent ( cf. supra</w:t>
      </w:r>
    </w:p>
    <w:p>
      <w:r>
        <w:rPr>
          <w:b/>
        </w:rPr>
        <w:t>E. 5</w:t>
      </w:r>
    </w:p>
    <w:p>
      <w:r>
        <w:t>Justifiée, l'ordonnance querellée sera donc confirmée.![endif]&gt;![if&gt;</w:t>
      </w:r>
    </w:p>
    <w:p>
      <w:r>
        <w:rPr>
          <w:b/>
        </w:rPr>
        <w:t>E. 6</w:t>
      </w:r>
    </w:p>
    <w:p>
      <w:r>
        <w:t>Le recourant, qui succombe, supportera les frais envers l'État, fixés en totalité à CHF 1'500.-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