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P/6341/2015 vom 16. Oktober 2017</w:t>
      </w:r>
    </w:p>
    <w:p>
      <w:r>
        <w:t>GE Cour de justice, 2017-10-16, FR</w:t>
      </w:r>
    </w:p>
    <w:p>
      <w:r>
        <w:rPr>
          <w:b/>
        </w:rPr>
        <w:t xml:space="preserve">Quelle: </w:t>
      </w:r>
      <w:r>
        <w:t>https://mcp.opencaselaw.ch/entscheid/ge_gerichte_P_6341_2015</w:t>
      </w:r>
    </w:p>
    <w:p>
      <w:r>
        <w:t>FR: GE_GERICHTE P/6341/2015 du 16 octobre 2017</w:t>
      </w:r>
    </w:p>
    <w:p>
      <w:r>
        <w:t>IT: GE_GERICHTE P/6341/2015 del 16 ottobre 2017</w:t>
      </w:r>
    </w:p>
    <w:p>
      <w:pPr>
        <w:pStyle w:val="Heading2"/>
      </w:pPr>
      <w:r>
        <w:t>Regeste</w:t>
      </w:r>
    </w:p>
    <w:p>
      <w:r>
        <w:t>HOMICIDE PAR NÉGLIGENCE ; DISPOSITIONS PÉNALES DE LA LCR ; TORT MORAL ; FIXATION DE LA PEINE | CP.42</w:t>
      </w:r>
    </w:p>
    <w:p>
      <w:pPr>
        <w:pStyle w:val="Heading2"/>
      </w:pPr>
      <w:r>
        <w:t>Erwägungen</w:t>
      </w:r>
    </w:p>
    <w:p>
      <w:r>
        <w:rPr>
          <w:b/>
        </w:rPr>
        <w:t>E. 2</w:t>
      </w:r>
    </w:p>
    <w:p>
      <w:r>
        <w:t>ème éd., Bern 2011, n. 1705 p. 480 et les références citées). Le droit de recours de l'assurance responsabilité civile découle d'une application analogique de l'art. 72 LCA, de sorte que, celle-ci est subrogée dans les droits de l'assuré, dès le paiement effectif de l'indemnité. Cette subrogation n'est toutefois pas limitée aux seules prétentions de celui-ci contre les auteurs d'actes illicites commis fautivement, contrairement à ce qui est le cas en matière d'assurance-dommages. La subrogation de l'assurance porte sur les mêmes droits que ceux que l'assuré responsable aurait pu faire valoir contre d'éventuels coresponsables (ATF 130 III 362 consid. 5.1 ; F. WERRO, op.cit , 2 ème éd., Bern 2011, n. 1709 p. 481 et les références citées). 5.1.4.3. Aux termes de l'art. 65 al. 3 LCR, l’assureur a un droit de recours contre le preneur d’assurance ou l’assuré dans la mesure où il aurait été autorisé à refuser ou à réduire ses prestations d’après le contrat ou la LCA. L’étendue du recours tient compte du degré de culpabilité et de la situation économique de la personne contre laquelle le recours est formé. L'art. 14 al. 1 et 2 LCA prévoit que l’assureur n’est pas lié si le sinistre a été causé intentionnellement par le preneur d’assurance ou l’ayant droit. Si le preneur d’assurance ou l’ayant droit a causé le sinistre par une faute grave, l’assureur est autorisé à réduire sa prestation dans la mesure répondant au degré de la faute. 5.1.4.4. Selon l'art. 96 LCA, dans l’assurance des personnes, les droits que l’ayant droit aurait contre des tiers en raison du sinistre ne passent pas à l’assureur. Ainsi, les assurances dommages, telles que les assurances en responsabilité civile, sont exclues du champ d'application de l'art. 96 LCA (cf. ACJC/1262/2010 consid. 11.1), de sorte que l'indemnité versée est imputable sur les prestations dues par un détenteur d'assurance privée ou le tiers responsable. 5.2.1. En l'espèce, les indemnités à titre de réparation morale allouées par le Tribunal correctionnel à l'épouse du défunt et à ses enfants prennent en considération l'intensité et la qualité de leurs relations avec celui-là et sont en ligne avec la pratique des tribunaux, de sorte qu'ils sont adéquats, étant précisé que seule est contestée par l'appelante l'inexistence d'une éventuelle faute concomitante dudit défunt, examinée infra sous consid. 5.3. Ainsi, le montant de CHF 40'000.- alloué à l'épouse du défunt tient compte de manière adéquate de sa douleur, ayant perdu l'homme qu'elle aimait depuis 50 ans, avec lequel elle avait une grande complicité et des projets de vie future, des circonstances du décès, atroce par sa soudaineté et sa violence, et de la faute commise par l'appelante, qui a agi avec légèreté. Cette épouse souffre encore de cette perte tragique au point d'être toujours sous traitements médicamenteux, depuis juin 2015, et psychothérapeutique. Quant aux indemnités de CHF 20'000.- allouées à C______, E______ et D______, enfants de la victime, elles apparaissent également équitables, même si rien ne peut suppléer la perte d'un être cher, en particulier d'un père. Partant, les montants alloués par les premiers juges à titres d'indemnité pour tort moral de la famille directe du défunt doivent être confirmés. 5.2.2. S'agissant de l'indemnité pour tort moral en raison du décès d'un proche d'un montant de CHF 15'000.- octroyée à l'intimé F______, beau-fils du défunt, sans nier l'importance de leurs liens affectifs, la Cour de céans retient que ceux-ci n'étaient toutefois pas suffisamment exceptionnels pour justifier l'octroi d'une telle indemnité. Certes, ils entretenaient une relation de confiance et partageaient une passion commune, F______ ayant par ailleurs une forte estime pour son beau-père. Cela étant, ils n'avaient fait la connaissance l'un de l'autre que depuis quatre ans au jour de l'accident, ne faisaient pas ménage commun, n'habitant d'ailleurs pas dans le même pays, et ne se voyaient qu'une fois tous les deux mois. Les circonstances particulières entourant le drame, à savoir la présence de l'intimé F______ au moment du décès brutal de son beau-père, n'ont pas pour effet d'accorder à la partie plaignante la qualité de proche du défunt au sens de l'art. 47 CO et de fonder ainsi une indemnité pour tort moral sur cette base. Elles permettent seulement d'adapter, dans une seconde phase, le montant de base un fois fixé. Seules des circonstances exceptionnelles, en l'occurrence exclues, ayant trait à l'intensité des relations, qui unissaient le défunt et les autres membres de la famille sans lien de parenté direct, permettent de justifier l'octroi d'une telle indemnité. A nouveau, sans nier la douleur de l'intimé F______ face au décès de son beau-père, intervenu devant ses yeux, et la responsabilité qui lui incombait d'annoncer la triste nouvelle à son épouse enceinte, fille de la victime, la partie plaignante n'établit pas avoir subi un dommage en raison du choc émotionnel provoqué par l'accident, si bien qu'il a également lieu de rejeter les conclusions en tort moral de l'intimé F______ en raison d'une éventuelle atteinte à sa santé. En conséquence, l'appel sera partiellement admis et le jugement entrepris modifié dans cette mesure. 5.3. On ne peut reprocher à G______ une faute concomitante, dans la survenance de l'accident, comme brièvement relevé supra sous consid. 3.3.2, dès lors que les comportements reprochés au défunt par l'appelante, à laquelle il incombe le fardeau de la preuve, n'ont pas contribué à l'accident survenu. En effet, le simple fait de rouler à 23 km/h au plus, collé derrière un autre cycliste à 50 cm ou 1 m du bord de la chaussée, n'est nullement constitutif d'erreurs. C'est au contraire bien l'appelante qui, circulant trop vite, quittant la route des yeux et focalisant son attention sur le comportement de sa passagère, a dévié de sa route pour aller percuter le second cycliste qui roulait à une vitesse et une distance de la chaussée convenables. Dans ces circonstances, il ne peut être fait grief à la victime de ne pas s'être précipitée sur le bas-côté, à l'image de son beau-fils, pour esquiver le choc une fois qu'elle aurait réalisé que le minibus arrivant en sens inverse déviait de sa route. 5.4. Le principe de l'octroi d'une indemnité pour tort moral étant acquis et les montants alloués confirmés, à l'exception de l'indemnité sollicitée par F______, la Cour prend acte du fait que P______ a déjà versé aux parties plaignantes les indemnités fixées dans le jugement de première instance, de sorte qu'elle est désormais subrogée dans les droits de ces dernières. Par ailleurs, les assurances responsabilité civile étant exclues du champ de l'art. 96 LCA et en application de l'art. 62 al. 3 LCR, une imputation des prestations versées pourra être opérée sur les indemnités dues par la tierce personne responsable, soit, en l'espèce, l'appelante ou son assurance responsabilité civile. C'est d'ailleurs à juste titre que, dans leur mémoire de réponse, les parties plaignantes ont précisé ne pas faire valoir de prétentions supplémentaires en réparation du tort moral à l'encontre de l'appelante.</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Selon l'art. 427 al. 1 let. c CPP, les frais de la procédure causés par les conclusions civiles de la partie plaignante peuvent être mis à sa charge lorsque celles-ci ont été écartées ou que la partie plaignante a été renvoyée à agir par la voie civile. 6.2.1. Compte tenu de la confirmation du verdict de culpabilité et de la peine prononcée par le Tribunal de police, il n'y a pas lieu de revoir les frais fixés par le tribunal de première instance (art. 428 al. 3 CPP). 6.2.2. En appel, la prévenue succombe quasi intégralement. Certes, sa condamnation au paiement à l'intimé F______ d'un montant de CHF 15'000.- à titre d'indemnité pour tort moral a été annulée, mais sa culpabilité et sa peine n'ont pas été modifiées, respectivement réduites. Il se justifie partant de lui faire supporter les 3/4 des frais de la procédure, qui comprennent dans leur totalité un émolument de CHF 3'500.- (art. 14 al. 1 let. e RTFMP et 428 al. 2 let. b CPP) et de laisser le solde à la charge de l'Etat (art. 428 al. 1 CPP).</w:t>
      </w:r>
    </w:p>
    <w:p>
      <w:r>
        <w:rPr>
          <w:b/>
        </w:rPr>
        <w:t>E. 7.1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La partie plaignante a obtenu gain de cause au sens de cette disposition lorsque le prévenu a été condamné et/ou si les prétentions civiles ont été admises (M. NIGGLI / M. HEER / H. WIPRÄCHTIGER, Strafprozessordnung – Jugendstrafprozess-ordnung, Basler Kommentar StPO/JStPO, 2e éd., Bâle 2014 , n. 10 ad art. 433 CPP ; N. SCHMID, Schweizerische Strafprozessordnung : Praxiskommentar , 2 e éd. Zurich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n. 3 ad art. 433).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7.2</w:t>
      </w:r>
    </w:p>
    <w:p>
      <w:r>
        <w:t>En l'espèce, les parties plaignantes intimées obtiennent pour l'essentiel gain de cause, si bien que le principe de l'indemnisation de leurs dépenses nécessaires pour la procédure de première instance et d'appel leur est acquis.</w:t>
      </w:r>
    </w:p>
    <w:p>
      <w:r>
        <w:rPr>
          <w:b/>
        </w:rPr>
        <w:t>E. 7.2.1</w:t>
      </w:r>
    </w:p>
    <w:p>
      <w:r>
        <w:t>La note d'honoraires pour la procédure de première instance n'est pas contestée par l'appelante, de sorte qu'il n'est pas possible de revenir sur le montant octroyé par le Tribunal de police.</w:t>
      </w:r>
    </w:p>
    <w:p>
      <w:r>
        <w:rPr>
          <w:b/>
        </w:rPr>
        <w:t>E. 7.2.2</w:t>
      </w:r>
    </w:p>
    <w:p>
      <w:r>
        <w:t>L'activité déployée en appel, correspondant à 8 heures et 50 minutes d'activité au tarif horaire de CHF 300.-, soit CHF 2'650.- hors TVA, est en adéquation avec la nature et la difficulté de l'affaire, référence étant faite à la notion de juste indemnité consacrée à l'art. 433 CPP. Il convient cependant de la réduire légèrement, à hauteur de 1/4 (soit CHF 662.50), afin de tenir compte de ce que l'intimé F______ n'obtient pas l'entier de ses conclusions. Au vu de ce qui précède, elle sera arrêtée à CHF 2'146.50, TVA à 8% comprise (CHF 159.-).</w:t>
      </w:r>
    </w:p>
    <w:p>
      <w:r>
        <w:rPr>
          <w:b/>
        </w:rPr>
        <w:t>E. 8</w:t>
      </w:r>
    </w:p>
    <w:p>
      <w:r>
        <w:t>L'appelante, qui obtient gain de cause uniquement s'agissant des conclusions civiles de l'intimé F______ au titre d'indemnisation de son tort moral, et très partiellement au titre de participation aux honoraires d'avocat de ce dernier, se trouvant au bénéfice de l'assistance judiciaire, n'a pas elle-même supporté de dépenses relatives à un avocat de choix. Elle ne saurait donc prétendre à une indemnité à ce titre, dès lors que les art. 429 al. 1 let. a et 436 al. 2 CPP visent les frais de la défense de choix (ATF 138 IV 205 consid. 1 p. 206 ; arrêts du Tribunal fédéral 6B_363/2012 du 10 septembre 2012 consid. 1.2 et 6B_144/2012 du 16 août 2012 consid. 1.2 ; M. NIGGLI / M. HEER / H. WIPRÄCHTIGER, Schweizerische Strafprozessordnung / Schweizerische Jugendstrafprozessordnung, Basler Kommentar StPO/JStPO , Bâle 2011, n. 12 ad art. 429 ; ACPR/41/2012 du 30 janvier 2012). Qui plus est, l'appelante n'ayant pas fait l'objet d'un acquittement, une application de l'art. 429 CPP aurait été de toute manière exclue.</w:t>
      </w:r>
    </w:p>
    <w:p>
      <w:r>
        <w:rPr>
          <w:b/>
        </w:rPr>
        <w:t>E. 9</w:t>
      </w:r>
    </w:p>
    <w:p>
      <w:r>
        <w:t>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9.2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65.- pour un avocat stagiaire (let. a) et de CHF 200.- (let. c) pour un chef d'étude. En cas d'assujettissement, l'équivalent de la TVA est versé en sus.</w:t>
      </w:r>
    </w:p>
    <w:p>
      <w:r>
        <w:rPr>
          <w:b/>
        </w:rPr>
        <w:t>E. 9.3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apparait raisonnablement nécessaire à l'accomplissement de son mandant par un avocat expérimenté.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rPr>
          <w:b/>
        </w:rPr>
        <w:t>E. 9.4</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9.5</w:t>
      </w:r>
    </w:p>
    <w:p>
      <w:r>
        <w:t>En l'occurrence, le premier état de frais produit par le défenseur d'office de l'appelante paraît adéquat et conforme aux principes applicables en la matière, à l'exception de la majoration forfaitaire sollicitée de 20%, qu'il convient de ramener à 10%, compte tenu de l'activité taxée en première instance. L'indemnité sera donc arrêtée à CHF 2'286.90, correspondant à 8 heures d'activité au tarif de CHF 200.-/heure et 5 heures au tarif de CHF 65.-/heure, ainsi que la majoration forfaitaire de 10% [CHF 192.50] et l'équivalent de la TVA au taux de 8% [CHF 169.40]. L'appelante se verra en revanche refuser toute indemnisation supplémentaire liée à la rédaction des " Conclusions nouvelles sur faits nouveaux " du 28 août 2017, activité qui n'était ni nécessaire, ni efficace pour la défense de ses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