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P/6325/2021 vom 10. August 2021</w:t>
      </w:r>
    </w:p>
    <w:p>
      <w:r>
        <w:t>GE Cour de justice, 2021-08-10, FR</w:t>
      </w:r>
    </w:p>
    <w:p>
      <w:r>
        <w:rPr>
          <w:b/>
        </w:rPr>
        <w:t xml:space="preserve">Quelle: </w:t>
      </w:r>
      <w:r>
        <w:t>https://mcp.opencaselaw.ch/entscheid/ge_gerichte_P_6325_2021</w:t>
      </w:r>
    </w:p>
    <w:p>
      <w:r>
        <w:t>FR: GE_GERICHTE P/6325/2021 du 10 août 2021</w:t>
      </w:r>
    </w:p>
    <w:p>
      <w:r>
        <w:t>IT: GE_GERICHTE P/6325/2021 del 10 agosto 2021</w:t>
      </w:r>
    </w:p>
    <w:p>
      <w:pPr>
        <w:pStyle w:val="Heading2"/>
      </w:pPr>
      <w:r>
        <w:t>Regeste</w:t>
      </w:r>
    </w:p>
    <w:p>
      <w:r>
        <w:t>SÉQUESTRE(LP);LOI FÉDÉRALE SUR LES STUPÉFIANTS ET LES SUBSTANCES PSYCHOTROPES | CPP.263</w:t>
      </w:r>
    </w:p>
    <w:p>
      <w:pPr>
        <w:pStyle w:val="Heading2"/>
      </w:pPr>
      <w:r>
        <w:t>Erwägungen</w:t>
      </w:r>
    </w:p>
    <w:p>
      <w:r>
        <w:rPr>
          <w:b/>
        </w:rPr>
        <w:t>E. 1</w:t>
      </w:r>
    </w:p>
    <w:p>
      <w:r>
        <w:t>Le recours contre le refus de levée de séquestre est recevable, pour avoir été déposé selon la forme et dans le délai prescrits (art. 385 al. 1 et 396 al. 1 CPP), concerner une décision sujette à recours auprès de la Chambre de céans (art. 393 al. 1 let. a CPP) et émaner de la prévenue qui a qualité pour agir (art. 104 al. 1 let. a CPP), ayant un intérêt juridiquement protégé à la modification ou à l'annulation de la décision querellée (art. 382 al. 1 CPP).</w:t>
      </w:r>
    </w:p>
    <w:p>
      <w:r>
        <w:rPr>
          <w:b/>
        </w:rPr>
        <w:t>E. 2</w:t>
      </w:r>
    </w:p>
    <w:p>
      <w:r>
        <w:t>La recourante reproche au Ministère public d'avoir refusé de lever le séquestre frappant l'argent saisi lors de son arrestation.</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2.2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seront utilisés pour garantir le paiement des frais de procédure, des peines pécuniaires, des amendes et des indemnités (let. b) devront être restitués au lésé (let. c), devront être confisqués (let. d) ou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w:t>
      </w:r>
    </w:p>
    <w:p>
      <w:r>
        <w:rPr>
          <w:b/>
        </w:rPr>
        <w:t>E. 2.3</w:t>
      </w:r>
    </w:p>
    <w:p>
      <w:r>
        <w:t>À teneur de l'art. 267 al. 1 CPP, si le motif du séquestre disparaît, le ministère public ou le tribunal a l'obligation de lever la mesure et de restituer les objets et valeurs patrimoniales à l'ayant droit. Tant que l'instruction n'est pas achevée et que subsiste une probabilité de confiscation, de créance compensatrice ou d'une allocation au lésé, la mesure conservatoire doit être maintenue (ATF 141 IV 360 consid. 3.2 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Un séquestre peut en effet apparaître disproportionné lorsque la procédure dans laquelle il s'inscrit s'éternise sans motifs suffisants (ATF 132 I 229 consid. 11.6).</w:t>
      </w:r>
    </w:p>
    <w:p>
      <w:r>
        <w:rPr>
          <w:b/>
        </w:rPr>
        <w:t>E. 2.4</w:t>
      </w:r>
    </w:p>
    <w:p>
      <w:r>
        <w:t>En l'espèce, contrairement à ce que soutient la recourante, il existe de soupçons suffisants pour maintenir le séquestre. Il n'est pas vraisemblable que la recourante ait ignoré l'utilisation du produit de coupage trouvé dans la voiture prêtée par B______, lui-même poursuivi pour trafic de stupéfiants; cela fait plusieurs années qu'elle fréquente des hommes impliqués dans de tels trafics; il est connu, même hors du cercle des trafiquants, que la drogue destinée à la revente est coupée. Dans l'appartement qu'elle venait de quitter à G______, la police a trouvé deux sacs à dos sur le lit contenant drogue et argent, et, outre le même type de produit de coupage que celui qu'elle transportait, des sachets de conditionnement et des balances. Or, B______, qui présente la recourante comme étant une véritable amie avec laquelle il voulait emménager en colocation, a décrit son appartement comme représentant 20m2; il paraît tout aussi peu vraisemblable que la recourante n'ait pas vu, ni été au courant de, la présence des deux sacs, dans un logement d'une surface si réduite dont elle avait les clés. Enfin, B______ a été trouvé en possession de CHF 1'300.- en petites coupures soit le même genre que celles composant les CHF 2'800.- trouvés sur la recourante. Elle allègue que les clients de son activité comptable l'auraient payée avec des billets de CHF 50.- et CHF 100.-, mais n'a apporté aucun début de preuve de cette activité ni des ces paiements, tels que, par exemple, une facture ou une quittance. Enfin, elle soutient avoir besoin d'argent parce qu'elle serait sans logement, mais n'en apporte pas la preuve, elle qui dans ses courriers au Procureur soutient vouloir rejoindre ses frères et sœurs. Il s'ensuit que, en l'état, la prévention pénale est suffisante à justifier le maintien du séquestre et la probabilité d'une confiscation demeure.</w:t>
      </w:r>
    </w:p>
    <w:p>
      <w:r>
        <w:rPr>
          <w:b/>
        </w:rPr>
        <w:t>E. 3</w:t>
      </w:r>
    </w:p>
    <w:p>
      <w:r>
        <w:t>Justifiée, la décision querellée sera donc confirmée.</w:t>
      </w:r>
    </w:p>
    <w:p>
      <w:r>
        <w:rPr>
          <w:b/>
        </w:rPr>
        <w:t>E. 4</w:t>
      </w:r>
    </w:p>
    <w:p>
      <w:r>
        <w:t>La recourante, qui succombe, supportera les frais envers l'État, qui seront fixés en totalité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