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P/6282/2021 vom 17. April 2024</w:t>
      </w:r>
    </w:p>
    <w:p>
      <w:r>
        <w:t>GE Cour de justice, 2024-04-17, FR</w:t>
      </w:r>
    </w:p>
    <w:p>
      <w:r>
        <w:rPr>
          <w:b/>
        </w:rPr>
        <w:t xml:space="preserve">Quelle: </w:t>
      </w:r>
      <w:r>
        <w:t>https://mcp.opencaselaw.ch/entscheid/ge_gerichte_P_6282_2021</w:t>
      </w:r>
    </w:p>
    <w:p>
      <w:r>
        <w:t>FR: GE_GERICHTE P/6282/2021 du 17 avril 2024</w:t>
      </w:r>
    </w:p>
    <w:p>
      <w:r>
        <w:t>IT: GE_GERICHTE P/6282/2021 del 17 aprile 2024</w:t>
      </w:r>
    </w:p>
    <w:p>
      <w:pPr>
        <w:pStyle w:val="Heading2"/>
      </w:pPr>
      <w:r>
        <w:t>Regeste</w:t>
      </w:r>
    </w:p>
    <w:p>
      <w:r>
        <w:t>ABUS DE LA DÉTRESSE | CP.193</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 restitution de délai suppose que la partie ou son mandataire aient été empêchés d'agir sans faute dans le délai fixé (arrêt du Tribunal fédéral 6B_110/2016 du 27 juillet 2016 consid. 2.2 non publié in ATF 142 IV 286 ). Hormis les cas de grossière erreur de l'avocat, en particulier lors d'une défense obligatoire, le comportement fautif de l'avocat est imputable à son client (ATF 143 I 284 consid. 1.3 ; arrêts du Tribunal fédéral 6B_673/2015 du 19 octobre 2016 consid. 2.1.2 ; 6B_1074/2015 du 19 novembre 2015 consid. 3.2). Il appartient en effet au mandataire professionnel de s'organiser de telle manière qu'un délai puisse être respecté indépendamment d'un éventuel empêchement de sa part (ATF 119 II 86 consid. 2a). De manière générale, une défaillance dans l'organisation interne de l'avocat (problèmes informatiques, auxiliaire en charge du recours, absence du mandataire principal) ne constitue pas un empêchement non fautif justifiant une restitution du délai (ATF 143 I 284 consid. 1.3 ; arrêt du Tribunal fédéral 6B_673/2015 du 19 octobre 2016 consid. 2.1.2). 2.1.2. En l'espèce, il est douteux que les conditions d'une restitution étaient réalisées. L'hospitalisation du conseil de l'intimée ne constitue a priori pas un empêchement non fautif au sens de l'art. 94 CPP, dont les conditions sont très strictes. À tout le moins, une demande de prolongation aurait vraisemblablement pu intervenir avant l'échéance du délai. Cela étant, de la même manière que la faute grossière de l'avocat ne doit pas prétériter le prévenu dans un cas de défense obligatoire, le droit d'être entendue de la victime doit prévaloir ici, dite jurisprudence devant s'appliquer mutatis mutandis à la victime, d'autant plus atteinte dans ses facultés (cf. infra consid. 3.3.2 sur la fragilité psychologique de la plaignante). Partant, l'incident d'irrecevabilité du mémoire de réponse de l'intimée est rejeté.</w:t>
      </w:r>
    </w:p>
    <w:p>
      <w:r>
        <w:rPr>
          <w:b/>
        </w:rPr>
        <w:t>E. 3</w:t>
      </w:r>
    </w:p>
    <w:p>
      <w:r>
        <w:t>3.1.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Les déclarations de la victime constituent un élément de preuve. Le juge doit, dans l'évaluation globale de l'ensemble des éléments probatoires rassemblés au dossier, les apprécier librement (arrêts du Tribunal fédéral 6B_219/2020 du 4 août 2020 consid. 2.1 et 6B_332/2020 du 9 juin 2020 consid. 3.2).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3.2.1. Aux termes de l'art. 193 al. 1 CP, sera puni celui qui, profitant de la détresse où se trouve la victime ou d'un lien de dépendance fondé sur des rapports de travail ou d'un lien de dépendance de toute autre nature, aura déterminé celle-ci à commettre ou à subir un acte d'ordre sexuel. Cette disposition protège la libre détermination en matière sexuelle. L'infraction suppose que la victime se trouve dans une situation de détresse ou de dépendance par rapport à l'auteur (arrêt du Tribunal fédéral 6B_1175/2017 du 11 avril 2018 consid. 1.1). La question de savoir s'il existe un état de détresse ou un lien de dépendance au sens de l'art. 193 CP et si la capacité de la victime de se déterminer était gravement limitée doit être examinée à la lumière des circonstances du cas d'espèce (ATF 131 IV 114 consid. 1). La situation de détresse ou de dépendance doit être appréciée selon la représentation que s'en font les intéressés (ATF 99 IV 161 consid. 1 ; arrêt du Tribunal fédéral 6B_1175/2017 du 11 avril 2018 consid. 1.1). 3.2.2. La victime est dépendante au sens de cette disposition lorsque, en raison d'une des circonstances mentionnées par la loi, elle n'est pas libre et qu'elle est par conséquent objectivement, voire même seulement subjectivement, à la merci de l'auteur de l'infraction. Pour qu'il y ait un lien de dépendance, il faut que la liberté de décision soit considérablement limitée. Pour déterminer l'intensité du lien de dépendance, il faut se pencher sur les circonstances du cas particulier. À la base d'un lien de dépendance, il y a, en règle générale, un rapport de confiance particulier et toujours une forte emprise de l'auteur sur la victime (ATF 133 IV 49 consid. 5.2 ; arrêt du Tribunal fédéral 6B_1076/2015 du 13 avril 2016 consid. 2.1). L'existence d'un lien de confiance profond ne suffit pas encore à admettre un lien de dépendance, il faut encore un fort ascendant de l'auteur sur la victime (arrêt du Tribunal fédéral 6B_1313/2021 du 8 août 2022 consid. 4.6.2). Un lien de dépendance peut découler de toute situation où une personne assume une position de mentor, notamment pour des occupations de temps libre (arrêt du Tribunal fédéral 6S.117/2006 du 9 juin 2006, consid. 3.1 ; B. CORBOZ, Les infractions en droit suisse, vol. I, Berne 2010, n. 13 ad art. 188 CP et n. 5 ad art. 193 CP). 3.2.3. L'art. 193 CP est réservé aux cas où 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du Tribunal fédéral 6B_1175/2017 du 11 avril 2018 consid. 1.1 ; 6S.117/2006 du 9 juin 2006 consid. 3.1). 3.2.4. Outre l'existence de la détresse ou d'un lien de dépendance, l'art. 193 CP 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L'art. 193 CP présuppose que la personne concernée accepte de commettre ou de subir les actes d'ordre sexuel en question. Si elle est sous l'emprise de l'auteur, cette décision d'accepter ou de refuser les actes d'ordre sexuel n'est pas entièrement libre. Dans ces circonstances, si elle accepte des actes d'ordre sexuel, donne son accord exprès ou apporte sa participation, l'auteur est punissable pénalement lorsque la dépendance de cette personne l'a rendue consentante. Il importe donc de savoir si la personne concernée a accepté l'acte sexuel en raison du lien de dépendance existant ou si elle l'a accepté librement indépendamment de ce lien. Il doit par conséquent exister un lien de causalité entre le lien de dépendance et l'acceptation par la victime d'une relation de nature sexuelle avec l'auteur (ATF 131 IV 114 consid. 1 ; arrêts du Tribunal fédéral 6B_1175/2017 du 11 avril 2018 consid. 1.1 ; 6B_1076/2015 du 13 avril 2016 consid. 2.1). La question de savoir s'il y a eu exploitation d'une dépendance au sens de l'art. 193 CP ne s'analyse pas en fonction du ressenti ultérieur de la personne concernée, ni d'appréciations objectives sur le sens ou les conséquences d'une relation (arrêt du Tribunal fédéral 6B_1313/2021 du 8 août 2022 consid. 4.6.5). 3.2.5. Du point de vue subjectif, il faut que l'acte soit intentionnel, à tout le moins par dol éventuel. L'auteur doit savoir ou tout au moins supposer que la personne concernée n'accepte les actes d'ordre sexuel en question qu'en raison du lien de dépendance existant (ATF 131 IV 114 consid. 1 ; arrêts du Tribunal fédéral 6B_1175/2017 du 11 avril 2018 consid. 1.1 in fine ; 6B_1076/2015 du 13 avril 2016 consid. 2.1). 3.3.1. Il n'est pas contesté que les parties ont entretenu des actes d'ordre sexuel pendant plusieurs mois, à raison de deux à trois fois par semaine. Toutes deux indiquent également avoir formé un couple, divergeant sur sa durée, pendant un à deux mois (lui), trois à cinq mois (elle). Il est établi que le prévenu est à l'origine du premier acte d'ordre sexuel intervenu entre les protagonistes. Il a admis avoir exprimé à la plaignante son désir de l'embrasser et son attirance pour elle. Elle s'est approchée et ils ont partagé un premier baiser. Immédiatement après le baiser, elle a expliqué avoir ressenti des émotions contradictoires, de l'anxiété et un certain état de choc. Le lendemain, elle lui a expressément indiqué qu'elle ne souhaitait pas que cela se reproduise. N'en tenant pas compte, le prévenu a commencé à lui envoyer des messages qu'il a lui-même qualifiés de " tendres, peut-être sentimentaux ", et à lui téléphoner, la sollicitant sur le plan émotionnel. Début décembre 2018, A______ l'a rejointe dans une discothèque et lui a proposé de partager une chambre dans un hôtel proche à la fin de la soirée. Ils ont alors entretenu leur premier rapport sexuel complet. Après quelques mois qualifiés de relation de couple par les parties, la situation s'est compliquée. Il ressort des déclarations à la procédure que tous deux ont voulu prendre des chemins différents. La jeune femme aurait souhaité vivre une relation au plein jour, officielle, alors que pour le prévenu, il n'était pas question de mettre en péril sa famille et son travail. 3.3.2. La fragilité psychologique dans laquelle se trouvait l'intimée à son arrivée au foyer et pendant toute la durée de la période pénale est indéniable. Elle souffrait de troubles psychologiques depuis l'adolescence et était, au moment des faits, suivie par les HUG pour un trouble de la personnalité avec des traits borderline. Elle avait intégré un foyer de la Fondation ne parvenant pas à s'assumer seule et ayant besoin d'un cadre et d'un soutien administratif et psychologique. Elle faisait d'ailleurs l'objet d'une curatelle de gestion et de représentation, n'étant pas à même de gérer ses affaires courantes. Elle avait tenté de mettre fin à ses jours à plusieurs reprises, dont la dernière fois au sein du foyer, quelques mois à peine avant le premier baiser. Avant la sexualisation de leur relation, l'appelant avait pleinement connaissance de l'état de santé de l'intimée. Elle résidait depuis près d'une année dans le foyer et y côtoyait le prévenu presque tous les jours. Ils avaient eu de nombreuses discussions au cours desquelles la jeune femme avait abordé sa santé psychologique. Elle s'était largement confiée à lui, en lui parlant de ses peurs, de son manque de confiance en les autres, de ses troubles, etc. Si lui a davantage placé leurs discussions autour de points communs (musique, film, lecture), aucun élément au dossier n'infirme les propos de l'intimée, d'autant plus que, lors de sa première audition, l'appelant a dépeint l'état psychologique fragile de l'intimée (cf. supra consid. B.b.b). Il avait également connaissance de son dossier médical et administratif, tenu par la Fondation, et auquel il avait accès. Les diagnostics médicaux établis y figuraient. Les assistants socio-éducatifs en étaient informés lors de l'arrivée d'un résident et les discutaient au sein des colloques régulièrement organisés. 3.4.1. L'appelant ne conteste pas qu'un lien fort s'est créé entre eux. La jeune femme le sollicitait pour chercher de l'aide, et non sa référente ou les autres assistants socio-éducatifs. Cela avait d'ailleurs été relevé par ses collègues. Il a laissé cette proximité s'installer et l'a entretenue, s'ouvrant également sur des points de sa vie passée et de ses précédentes relations. Il a parlé à l'intimée des difficultés qu'il rencontrait avec son épouse, allant jusqu'à lui faire part de ce qu'ils ne faisaient plus lit commun. En quelques mois, il a représenté pour l'intimée un repère très important, acquérant une double position auprès d'elle, celle d'assistant socio-éducatif et celle de confident. Il est partant établi qu'un lien de confiance profond s'est noué entre eux, allant au-delà du lien usuel et professionnel entre un résident et un assistant socio-éducatif du foyer. 3.4.2. Conformément à la jurisprudence, un rapport de confiance profond ne suffit pas pour retenir l'existence d'un lien de dépendance au sens de l'art. 193 CP. Il faut, en plus, une forte emprise de l'auteur sur la victime. Dite emprise ne saurait découler automatiquement de la responsabilité morale et professionnelle qui incombait au prévenu au sein du foyer. Tel n'est d'ailleurs pas le cas en l'espèce. En effet, de manière générale, les résidents avaient un rapport différent avec l'appelant d'avec les autres assistants et se confiaient davantage à lui ou osaient aborder des thématiques plus intimes, comme la sexualité. Il en allait ainsi pour l'intimée qui s'est largement confiée à lui. Ce nonobstant, l'appelant n'était pas son référent au sein du foyer. Elle n'avait pas de devoir ou d'obligation de se confier à lui et était libre dans ses décisions de se rapprocher de lui. Certes, les professionnels chargés d'encadrer les résidents d'un foyer ont une responsabilité morale évidente dans la gestion de leurs liens avec eux. Cela étant, à la lecture de la procédure, le lien de confiance entre les parties paraît s'être tissé en raison de la proximité créée par la vie au foyer (repas partagés, soirées, etc.) et des affinités de caractère, et non en lien avec un encadrement ou une assistance spécifique à l'intimée. Il n'apparaît pas que la jeune femme se soit sentie en confiance en raison de l'ascendant de l'appelant, mais plutôt des suites d'une construction de rapport d'égal à égal entre deux adultes. Elle l'a d'ailleurs décrit en ces termes : " il était plus cool et moins rigide […] . On pouvait parler de plus de choses, notamment de la sexualité. Il parlait comme un jeune ", étant précisé que rien n'indique que le prévenu aurait délibérément joué un rôle " cool et moins rigide " dans le but d'entretenir des rapports sexuels avec l'intimée. Partant, la fonction d'assistant socio-éducatif de l'appelant n'a pas créé, en l'espèce, de lien de dépendance ou d'emprise sur la jeune femme.</w:t>
      </w:r>
    </w:p>
    <w:p>
      <w:r>
        <w:rPr>
          <w:b/>
        </w:rPr>
        <w:t>E. 3.5</w:t>
      </w:r>
    </w:p>
    <w:p>
      <w:r>
        <w:t>L'évolution de la relation, ainsi que sa durée – plus de 18 mois – plaident également pour l'absence d'un lien de dépendance. Les parties ont estimé avoir eu une relation, puis l'intimée a quitté l'appelant à plusieurs reprises. À teneur des déclarations de la jeune femme, elle est revenue vers lui en raison de la gentillesse et de la compréhension émotionnelle qu'il lui témoignait. Aucun élément du dossier ne permet d'établir que le prévenu aurait insisté à ce moment, faisant usage de sa position professionnelle ou du lien de confiance qui les unissait. Les multiples ruptures font plutôt écho à la difficulté, fréquente, due à l'absence de perspectives futures, alors que des sentiments amoureux subsistaient, encore accrue par la proximité créée par le foyer et l'impossibilité de mettre une distance physique entre les parties. Les messages versés à la procédure en témoignent : " je suis désolé. Tu sais que ce n'est pas mon but. Je t'aime [cœur] pour moi je ressens toujours les mêmes sentiments pour toi " (message du prévenu du 15 juillet 2019). Certes, l'intimée a estimé, a posteriori, avoir été utilisée par le prévenu et qu'il aurait profité de la confiance qu'elle lui portait pour satisfaire ses désirs sexuels. Il apparaît très vraisemblable qu'il a activement entretenu la confusion de la jeune femme et rendu plus difficile une rupture complète, se montrant toujours disponible, affectueux et tendre, présent physiquement et virtuellement (cf. messages envoyés), mais un tel comportement est fréquent dans une relation de couple et ne paraît pas fonder une emprise particulière ou un lien de dépendance au sens de l'art. 193 CP, d'autant plus que les éléments à la procédure plaident pour l'absence de lien entre la fonction d'assistant socio-éducatif et les rapports de confiance qui se sont noués entre les protagonistes. 3.6.1. Les motifs avancés par l'intimée pour expliquer qu'elle a accepté un premier rapport sexuel avec le prévenu, revenant sur son refus initial après leur premier baiser, sont personnels. Elle a déclaré s'être convaincue qu'il s'agissait d'une bonne " opportunité " pour un premier rapport sexuel et, ainsi, de l'occasion de mettre un terme à sa virginité – qu'elle ressentait alors comme un poids – avec une personne en qui elle avait pleinement confiance. Les sollicitations de l'appelant, ainsi que la proximité inévitable au foyer ont certainement joué un rôle dans sa décision, mais elles étaient au second plan. L'objectif de la partie plaignante de perdre sa virginité ne soutient pas la thèse d'un ascendant du prévenu ou d'une forte emprise qu'il aurait exercé sur la jeune femme pour la déterminer à entretenir des rapports sexuels avec lui. 3.6.2. Les éléments apportés par les professionnels en charge de la santé mentale de la jeune femme ne conduisent pas à une autre conclusion. Certes, deux des médecins de l'intimée ont considéré que les troubles dont l'intimée souffrait pouvaient altérer sa capacité de discernement en matière sexuelle. Dits troubles avaient en effet comme conséquence une vulnérabilité émotionnelle et l'idéalisation de l'autre, partant un éventuel investissement de la relation sexuelle pour se rassurer. Le troisième, lequel a concentré sa thérapie sur le traitement de son TDAH, a en revanche nié toute altération de sa capacité de discernement due à ce trouble. Les rapports de confiance réciproques et intimes qui se sont construits entre l'intimée et l'appelant ont certainement rendu la jeune femme plus vulnérable sur les plans émotionnel et sexuel, ce que le prévenu savait. Cela étant, il convient de relever que, dans les circonstances du cas d'espèce, considérer que la jeune femme ne disposait pas de sa capacité de discernement en matière sexuelle, reviendrait indirectement à la priver de sa liberté de décision en la matière et de toute sexualité consentie. Or, si sa fragilité est indéniable, il apparaît qu'elle était pleinement en possession de ses capacités de se déterminer sur ses désirs en matière sexuelle. Cela se confirme déjà par son choix réfléchi de perdre sa virginité avec une personne de confiance (cf. supra consid. 3.6.1). Aussi, on ne saurait considérer ici que le consentement de l'intimée était vicié.</w:t>
      </w:r>
    </w:p>
    <w:p>
      <w:r>
        <w:rPr>
          <w:b/>
        </w:rPr>
        <w:t>E. 3.7</w:t>
      </w:r>
    </w:p>
    <w:p>
      <w:r>
        <w:t>Au vu de ce qui précède, il ressort du dossier que les parties se sont éprises l'une de l'autre, malgré leur différence d'âge et dans un contexte où l'un était un travailleur social employé par le foyer dans lequel l'autre était domiciliée pour un suivi administratif en raison d'un état psychologique fragile. Le comportement de l'appelant est loin d'être éthique et conforme à ses obligations professionnelles. Les éléments au dossier ne permettent néanmoins pas de retenir que l'appelant disposait d'une forte emprise sur l'intimée ou d'un ascendant, dont un lien de dépendance aurait résulté au sens de l'art. 193 CP. Les conditions objectives de l'infraction d'abus de la détresse font ainsi défaut. Subjectivement, le lien de dépendance n'étant pas démontré, on ne saurait retenir que le prévenu savait ou à tout le moins supposait que l'intimée n'acceptait les actes d'ordre sexuel qu'en raison de celui-ci et que leur liaison était, partant, pénalement répréhensible, quand bien même il avait conscience que son comportement était inadéquat, tant professionnellement qu'éthiquement, puisqu'il a demandé à la jeune femme de taire leur relation et qu'il craignait pour son poste de travail et pour son couple. Partant, le prévenu sera acquitté d'abus de la détresse au sens de l'art. 193 CP.</w:t>
      </w:r>
    </w:p>
    <w:p>
      <w:r>
        <w:rPr>
          <w:b/>
        </w:rPr>
        <w:t>E. 4</w:t>
      </w:r>
    </w:p>
    <w:p>
      <w:r>
        <w:t>L'acquittement du prévenu conduit au rejet des conclusions en indemnisation pour tort moral de la partie plaignante.</w:t>
      </w:r>
    </w:p>
    <w:p>
      <w:r>
        <w:rPr>
          <w:b/>
        </w:rPr>
        <w:t>E. 5</w:t>
      </w:r>
    </w:p>
    <w:p>
      <w:r>
        <w:t>L'appel ayant été admis, les frais relatifs à la procédure préliminaire, de première instance et d'appel seront laissés à la charge de l'État (art. 428 al. 1 et 3 CPP).</w:t>
      </w:r>
    </w:p>
    <w:p>
      <w:r>
        <w:rPr>
          <w:b/>
        </w:rPr>
        <w:t>E. 6.1</w:t>
      </w:r>
    </w:p>
    <w:p>
      <w:r>
        <w:t>L'état de frais produit par M e B______, défenseure d'office de l'appelant, satisfait les exigences légales et jurisprudentielles régissant l'assistance judiciaire gratuite en matière pénale, excepté le temps consacré à la rédaction de la déclaration d'appel, laquelle est comprise dans le forfait (ordonnance de la Cour des plaintes du Tribunal pénal fédéral BB.2014.51 du 21 novembre 2014 consid. 2.1 ; décisions de la Cour des plaintes du Tribunal pénal fédéral BB.2013.165 du 24 janvier 2014 consid. 4.1.3 et BB.2013.127 du 4 décembre 2013 consid. 4.2). En conclusion, sa rémunération sera arrêtée à CHF 2'823.55 correspondant à 11h55 d'activité au tarif de CHF 200.-/heure (CHF 2'383.35), plus la majoration forfaitaire de 10% (CHF 238.35) et la TVA au taux de 7.7% (CHF 201.85).</w:t>
      </w:r>
    </w:p>
    <w:p>
      <w:r>
        <w:rPr>
          <w:b/>
        </w:rPr>
        <w:t>E. 6.2</w:t>
      </w:r>
    </w:p>
    <w:p>
      <w:r>
        <w:t>Considéré globalement, l'état de frais déposé par M e D______ est conforme aux exigences légales et jurisprudentielles régissant l'assistance judiciaire gratuite en matière pénale. Partant, sa rémunération sera arrêtée à CHF 1'888.40 correspondant à 8h00 d'activité au tarif de CHF 200.-/heure (CHF 1'600.-), plus la majoration forfaitaire de 10% (CHF 160.-) et la TVA (CHF 128.40, soit 6h30 [CHF 1'300.-] au taux de 8.1% [= CHF 105.30] et 1h30 [CHF 300.-] au taux de 7.7% [= CHF 23.10]).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