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P/6276/2018 vom 26. Juni 2019</w:t>
      </w:r>
    </w:p>
    <w:p>
      <w:r>
        <w:t>GE Cour de justice, 2019-06-26, FR</w:t>
      </w:r>
    </w:p>
    <w:p>
      <w:r>
        <w:rPr>
          <w:b/>
        </w:rPr>
        <w:t xml:space="preserve">Quelle: </w:t>
      </w:r>
      <w:r>
        <w:t>https://mcp.opencaselaw.ch/entscheid/ge_gerichte_P_6276_2018</w:t>
      </w:r>
    </w:p>
    <w:p>
      <w:r>
        <w:t>FR: GE_GERICHTE P/6276/2018 du 26 juin 2019</w:t>
      </w:r>
    </w:p>
    <w:p>
      <w:r>
        <w:t>IT: GE_GERICHTE P/6276/2018 del 26 giugno 2019</w:t>
      </w:r>
    </w:p>
    <w:p>
      <w:pPr>
        <w:pStyle w:val="Heading2"/>
      </w:pPr>
      <w:r>
        <w:t>Regeste</w:t>
      </w:r>
    </w:p>
    <w:p>
      <w:r>
        <w:t>INCENDIE PAR NÉGLIGENCE;RESPONSABILITÉ DE L'ENTREPRISE;LIEN DE CAUSALITÉ;CLASSEMENT DE LA PROCÉDURE | CPP.319.al1.leta; CP.222.al1; CP.11; CP.12.al3; CP.102.al1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recourante considère qu'il existe des soupçons suffisants d'infractions à l'égard de la régie.</w:t>
      </w:r>
    </w:p>
    <w:p>
      <w:r>
        <w:rPr>
          <w:b/>
        </w:rPr>
        <w:t>E. 2.1</w:t>
      </w:r>
    </w:p>
    <w:p>
      <w:r>
        <w:t>L'art. 319 al. 1 CPP prévoit que le Ministère public ordonne le classement de tout ou partie de la procédure lorsqu'aucun soupçon justifiant une mise en accusation n'est établi (let. a). Cette disposition doit être appliquée conformément à l'adage in dubio pro duriore . Celui-ci, qui découle du principe de la légalité (art. 5 al. 1 Cst. et 2 al. 2 CPP en relation avec les art. 319 al. 1 et 324 CPP; ATF 138 IV 86 consid. 4.2) et qui s'impose également à l'autorité de recours, signifie qu'en principe, un classement ne peut être prononcé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A. KUHN / Y. JEANNERET (éds), Commentaire romand : Code de procédure pénale suisse , Bâle 2011,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ATF 138 IV 186 consid. 4.1).</w:t>
      </w:r>
    </w:p>
    <w:p>
      <w:r>
        <w:rPr>
          <w:b/>
        </w:rPr>
        <w:t>E. 2.2</w:t>
      </w:r>
    </w:p>
    <w:p>
      <w:r>
        <w:t>L'art. 222 al. 1 CP réprime le comportement de celui qui, par négligence, aura causé un incendie et aura ainsi porté préjudice à autrui ou fait naître un danger collectif. Les éléments objectifs de l'incendie par négligence sont: a) un comportement incendiaire; b) un incendie; c) un rapport de causalité entre le comportement de l'auteur et l'incendie, le comportement devant être la cause naturelle et adéquate de l'incendie; d) les conséquences de l'incendie, à savoir un préjudice pour autrui ou un danger collectif. L'élément subjectif est la négligence. Une infraction de résultat, qui suppose en général une action, peut aussi être commise par omission si l'auteur est resté passif au mépris d'une obligation juridique qui lui commandait impérieusement d'agir pour éviter le résultat (cf. art. 11 CP).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(ATF 141 IV 249 consid. 1.1 p. 251 s. ; ATF 134 IV 255 consid. 4.2.1 p. 259 s. et les références ; arrêt du Tribunal fédéral 6B_315/2016 du 1er novembre 2016 consid. 4.1). La négligence est l'imprévoyance coupable commise par celui qui, ne se rendant pas compte des conséquences de son acte, agit sans user des précautions commandées par les circonstances et sa situation personnelle (art. 12 al. 3 CP). Il faut qu'il existe un rapport de causalité entre la violation fautive du devoir de prudence et le dommage survenu.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p. 264 s.).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p. 185). La causalité adéquate est ainsi exclue lorsque l'acte attendu n'aurait vraisemblablement pas empêché la survenance du résultat ou lorsqu'il serait simplement possible qu'il l'eût empêché (arrêt du Tribunal fédéral 6B_1098/2017 du 5 avril 2018 consid. 4.2 ; arrêt du Tribunal fédéral 6B_170/2017 du 19 octobre 2017 consid. 2.2).</w:t>
      </w:r>
    </w:p>
    <w:p>
      <w:r>
        <w:rPr>
          <w:b/>
        </w:rPr>
        <w:t>E. 2.3</w:t>
      </w:r>
    </w:p>
    <w:p>
      <w:r>
        <w:t>Un crime ou un délit commis au sein d'une entreprise dans l'exercice d'activités commerciales conformes à ses buts est imputé à l'entreprise s'il ne peut être imputé à aucune personne physique déterminée en raison du manque d'organisation de l'entreprise. Dans cette situation, l'entreprise est punie d'une amende de cinq millions de francs au plus (art. 102 al. 1 CP). Le reproche adressé à l'entreprise dans l'hypothèse de la responsabilité subsidiaire vise non pas le fait d'avoir commis une infraction, mais l'organisation déficiente de l'entreprise qui a empêché que la personne physique coupable ne soit rendue responsable de l'infraction (art. 102 al. 1 CP). Dans le cadre de la responsabilité subsidiaire, le motif pénal réside dans la difficulté de découvrir l'auteur en raison des structures organisationnelles ; l'impossibilité d'identifier la personne physique auteur de l'infraction est motivée de façon causale par le manque d'organisation de l'entreprise (arrêt du Tribunal fédéral 6B_7/2014 du 21 juillet 2014 c. 3.4.3, in : Pra 2014 n. 115 p. 921). Les conditions sont réalisées lorsque l'auteur ne peut absolument pas être identifié, mais également lorsqu'une ou plusieurs personnes entrent en ligne de compte comme auteurs, mais qu'il n'est pas possible de déterminer laquelle de ces personnes est finalement responsable de l'acte en question. Pour que la disposition de l'art. 102 CP puisse être appliquée, des investigations préalables approfondies et soignées sont nécessaires (ATF 142 IV 333 consid. 4.1 = JdT 2017 IV 187) L'existence de la responsabilité présuppose que, dans l'exercice d'activités commerciales conformes au but de l'entreprise, une infraction ait été commise dans l'entreprise. La commission de l'infraction d'origine par la personne physique forme uniquement la raison externe de la punissabilité. C'est une condition objective de la punissabilité. Par conséquent, cette disposition se rattache à un crime ou à un délit commis. Dans ce contexte, il convient de prouver que les conditions objectives et subjectives constitutives de l'infraction sont remplies. S'il n'est pas possible de le prouver, la punissabilité de l'entreprise est exclue. Dans l'hypothèse contraire, on serait en présence d'une responsabilité purement causale ce que le législateur n'a expressément pas voulu (ATF 142 IV 333 consid. 4.1 = JdT 2017 IV 187).</w:t>
      </w:r>
    </w:p>
    <w:p>
      <w:r>
        <w:rPr>
          <w:b/>
        </w:rPr>
        <w:t>E. 2.4</w:t>
      </w:r>
    </w:p>
    <w:p>
      <w:r>
        <w:t>. En l'occurrence, l'enquête menée par le Ministère public n'a pas permis, à ce jour, de réunir des éléments permettant d'identifier le ou les auteur(s) direct(s) de l'incendie, ni, a fortiori , de le(s) renvoyer en jugement. La recourante objecte que toutes les mesures d'instruction utiles à cette fin n'ont pas été mises en oeuvre, notamment que la responsabilité pénale de la régie n'a pas été suffisamment examinée. La recourante soutient que la régie, en ne faisant rien alors qu'elle avait connaissance, plusieurs semaines avant l'incendie, ou ne pouvait l'ignorer, du tas de détritus - qui serait, selon elle, à l'origine du sinistre -, via son employé, le concierge, était restée passive en tolérant une situation de fait dangereuse et engageait ainsi sa responsabilité pénale du fait de son organisation et de sa position de garant. Or, à la lecture du rapport d'expertise, la Chambre de céans constate que les experts ne concluent pas que la zone d'origine du sinistre aurait assurément été le tas de détritus. Ils n'ont pu qu'émettre des hypothèses selon lesquelles le dépôt d'un mégot de cigarettes encore incandescent dans ledit tas aurait pu faire naître des flammes et être à l'origine de l'incendie - sans en conclure que tel avait été le cas - ou qu'un produit inflammable aurait pu être utilisé afin d'allumer et/ou de propager le sinistre ou encore qu'un allumage délibéré aurait pu être réalisé sans recourir à l'ajout d'un tel produit. Dès lors, la cause du sinistre résultait d'une intervention humaine fortuite ou délibérée, sans qu'il ne soit possible de privilégier l'une ou l'autre de ces hypothèses. Dans ces circonstances, force est de constater que l'omission reprochée à la régie, si tant est qu'elle soit fautive, ce qu'il n'est pas nécessaire d'élucider en l'espèce, dès lors qu'il y aurait quoiqu'il en soit lieu de retenir qu'elle n'est pas la cause naturelle et adéquate de l'incendie et donc des dommages subis par la recourante. En effet, même si le tas de détritus avait été évacué, aucun élément figurant au dossier ne permettrait de conclure que l'incendie aurait vraisemblablement pu être évité, puisqu'on ignore de quelle façon l'auteur a agi, étant relevé que les actes d'instruction sollicités par la recourante ne sont pas propres à modifier les constatations qui précèdent. La cause la plus probable et la plus immédiate de l'incendie considéré paraît ainsi s'imposer comme le comportement d'un tiers, non identifié à ce jour, soit de celui qui a fortuitement ou délibérément causé l'incendie de la façon décrite par les experts dans leurs différents scénarios. Dans ces conditions, l'on ne saurait retenir que les éléments à disposition du Ministère public étaient suffisants pour établir une éventuelle responsabilité pénale de la régie dans le cadre de cet incendie. C'est donc à raison que le classement de la procédure a été ordonné.</w:t>
      </w:r>
    </w:p>
    <w:p>
      <w:r>
        <w:rPr>
          <w:b/>
        </w:rPr>
        <w:t>E. 3</w:t>
      </w:r>
    </w:p>
    <w:p>
      <w:r>
        <w:t>Justifiée, l'ordonnance querellée sera donc confirmée.</w:t>
      </w:r>
    </w:p>
    <w:p>
      <w:r>
        <w:rPr>
          <w:b/>
        </w:rPr>
        <w:t>E. 4</w:t>
      </w:r>
    </w:p>
    <w:p>
      <w:r>
        <w:t>La recourante, qui succombe, supportera les frais envers l'État (art. 428 al. 1 CPP et 13 al. 1 du Règlement fixant le tarif des frais en matière pénale, RTFMP ; E 4 10.03), fixés en totalité à CHF 1'500.-, émolument de décision compris. Pour le même motif, elle ne saurait se voir allouer d'indemnité au sens de l'art. 433 al. 1 CPP, applicable en instance de recours selon l'art. 436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