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P/6258/2024 vom 27. Juni 2024</w:t>
      </w:r>
    </w:p>
    <w:p>
      <w:r>
        <w:t>GE Cour de justice, 2024-06-27, FR</w:t>
      </w:r>
    </w:p>
    <w:p>
      <w:r>
        <w:rPr>
          <w:b/>
        </w:rPr>
        <w:t xml:space="preserve">Quelle: </w:t>
      </w:r>
      <w:r>
        <w:t>https://mcp.opencaselaw.ch/entscheid/ge_gerichte_P_6258_2024</w:t>
      </w:r>
    </w:p>
    <w:p>
      <w:r>
        <w:t>FR: GE_GERICHTE P/6258/2024 du 27 juin 2024</w:t>
      </w:r>
    </w:p>
    <w:p>
      <w:r>
        <w:t>IT: GE_GERICHTE P/6258/2024 del 27 giugno 2024</w:t>
      </w:r>
    </w:p>
    <w:p>
      <w:pPr>
        <w:pStyle w:val="Heading2"/>
      </w:pPr>
      <w:r>
        <w:t>Regeste</w:t>
      </w:r>
    </w:p>
    <w:p>
      <w:r>
        <w:t>ORDONNANCE DE NON-ENTRÉE EN MATIÈRE;INFRACTIONS CONTRE L'HONNEUR;DROIT D'ÊTRE ENTENDU;DIFFAMATION | CP.173; CP.174; CPP.310; Cst.29.al2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semble se plaindre d'une motivation insuffisante de la décision attaquée.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3.2</w:t>
      </w:r>
    </w:p>
    <w:p>
      <w:r>
        <w:t>En l'espèce, l'ordonnance querellée expose que les courriels des 7 et 12 décembre 2023 visaient à présenter les arguments à l'appui de la résiliation du mandat de la régie, plutôt qu'à porter atteinte à l'honneur du recourant. Par ailleurs, la mise en cause était légitimée à avoir des soupçons quant à l'utilisation du logement, soumis à la LGZD. Une telle motivation permettait au recourant de contester la décision dans le cadre de son recours, ce qu'il a fait. Le grief sera dès lors rejeté.</w:t>
      </w:r>
    </w:p>
    <w:p>
      <w:r>
        <w:rPr>
          <w:b/>
        </w:rPr>
        <w:t>E. 4</w:t>
      </w:r>
    </w:p>
    <w:p>
      <w:r>
        <w:t>Le recourant conteste la non-entrée en matière prononcée à la suite de sa plainte.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4.2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La calomnie (art. 174 CP) est une forme qualifiée de diffamation, dont elle se distingue par le fait que les allégations propagées sont fausses (arrêt du Tribunal fédéral 6B_1215/2020 du 22 avril 2021 consid. 3.1). L'honneur protégé par ces dispositions est conçu de façon générale comme un droit au respect, qui est lésé par toute assertion propre à exposer la personne visée au mépris de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Pour qu'il y ait diffamation ou calomnie, il faut encore que le prévenu s'adresse à un tiers. Est en principe considérée comme telle toute personne autre que l'auteur et l'individu visé par les propos litigieux (ATF 145 IV 462 consid. 4.3.3).</w:t>
      </w:r>
    </w:p>
    <w:p>
      <w:r>
        <w:rPr>
          <w:b/>
        </w:rPr>
        <w:t>E. 4.3</w:t>
      </w:r>
    </w:p>
    <w:p>
      <w:r>
        <w:t>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 et 152 et les références citées; arrêt du Tribunal fédéral 6B_632/2015 du 9 octobre 2015 consid. 1).</w:t>
      </w:r>
    </w:p>
    <w:p>
      <w:r>
        <w:rPr>
          <w:b/>
        </w:rPr>
        <w:t>E. 4.4</w:t>
      </w:r>
    </w:p>
    <w:p>
      <w:r>
        <w:t>En l'espèce, le recourant reproche aux mis en cause de l'avoir faussement accusé d'avoir "menti" , "manipulé" les autres copropriétaires et "harcelé" le personnel des régies H______ et J______. Cela étant, il est constant que les parties s'opposent au sujet du mandat de la régie H______. L'envoi des courriels des 7 et 12 décembre 2023 s'inscrit dans ce contexte conflictuel. Ainsi, replacés dans leur contexte, les propos litigieux ont été formulés avec une explication. Le terme "manipulations" est expliqué par le fait que le recourant aurait fixé la date de l'assemblée générale "de manière délibérément inopportune" et assuré, à tort, aux autres copropriétaires d'avoir le soutien de F______ dans ses démarches, explication qui en atténue la portée. En outre, le reproche d'avoir proféré des "mensonges" était à mettre en lien avec le tableau comparatif des honoraires du mandataire, considéré comme inexact par C______. Par ailleurs, la qualification du comportement du recourant de "harcèlement" – terme qui ne renvoie, au demeurant, à aucun crime ou délit prévu par le code pénal – est expliquée par le fait que le recourant est intervenu, sans mandat, à plusieurs reprises auprès des représentants des régies H______ et J______. Dès lors que les explications des mis en cause atténuent la signification des termes employés, ces derniers ne revêtent pas l'intensité suffisante pour être qualifiés d'attentatoires à l'honneur. De plus, comme le soutient le Ministère public, il n'apparaît pas que l'intention première des mis en cause aurait été de dire du mal du recourant, mais plutôt de présenter les arguments à l'appui de la résiliation du mandat de la régie. Le recourant reproche encore à B______ d'avoir allégué dans son courriel du 12 décembre 2023 qu'il n'habitait pas dans son appartement et de l'avoir dénoncé auprès de l'OCLPF pour violation de la LGZD. Force est de constater que, sans autre détail, soit en particulier en lien avec une violation de la loi précitée, l'allégation contenue dans le courriel litigieux est trop peu circonstanciée pour fonder une quelconque atteinte à l'honneur. Les termes utilisés: "qui ne sembl[e] pas" et "selon certaines informations du voisinage" en atténuent aussi la portée. Par ailleurs, bien qu'aucune violation de la LGZD n'ait été constatée, la mise en cause a agi auprès d'une autorité compétente pour recevoir de tels soupçons. En sa qualité de représentante du mandataire, elle avait d'ailleurs – au vu de ses propres constatations et des informations des voisins – des raisons suffisantes d'en concevoir, étant précisé que d'après le rapport d'entraide administrative du 14 février 2024, le recourant résidait sporadiquement dans un autre immeuble et effectuait des voyages à l'étranger pour des motifs personnels. C'est donc à bon droit que le Ministère public a décidé de ne pas entrer en matière sur les faits dénoncés de diffamation et a fortiori de calomnie.</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