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P/6236/2022 vom 25. September 2024</w:t>
      </w:r>
    </w:p>
    <w:p>
      <w:r>
        <w:t>GE Cour de justice, 2024-09-25, FR</w:t>
      </w:r>
    </w:p>
    <w:p>
      <w:r>
        <w:rPr>
          <w:b/>
        </w:rPr>
        <w:t xml:space="preserve">Quelle: </w:t>
      </w:r>
      <w:r>
        <w:t>https://mcp.opencaselaw.ch/entscheid/ge_gerichte_P_6236_2022</w:t>
      </w:r>
    </w:p>
    <w:p>
      <w:r>
        <w:t>FR: GE_GERICHTE P/6236/2022 du 25 septembre 2024</w:t>
      </w:r>
    </w:p>
    <w:p>
      <w:r>
        <w:t>IT: GE_GERICHTE P/6236/2022 del 25 settembre 2024</w:t>
      </w:r>
    </w:p>
    <w:p>
      <w:pPr>
        <w:pStyle w:val="Heading2"/>
      </w:pPr>
      <w:r>
        <w:t>Regeste</w:t>
      </w:r>
    </w:p>
    <w:p>
      <w:r>
        <w:t>DÉTENTION PROVISOIRE;RISQUE DE FUITE;RISQUE DE RÉCIDIVE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être l'auteur des deux courriels du 7 septembre 2024.</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charges se sont alourdies depuis la mise en liberté du recourant le 22 décembre 2023, puisque sept nouvelles infractions lui sont désormais reprochées (cf. i.i) à i.vi ) supra ). Le fait que la plupart de ces actes aient été commis avant sa précédente libération ne joue à cet égard aucun rôle, les charges étant désormais plus lourdes. Le recourant conteste avoir " adressé " les deux courriels du 7 septembre 2024, l'un au Pouvoir judiciaire, l'autre au conseil de X______/H______. En l'état de l'instruction, le fait que l'adresse e-mail ne porte pas le nom du recourant ne suffit pas à le mettre hors de cause. En effet, le contenu de ces deux courriels font référence à lui (" Si vous osez toucher à A______ …", " Si vous touchez encore une fois à Monsieur A______ …") et sont en lien avec les précédents messages qu'il admet avoir adressés à la précitée. Le recourant pourrait donc avoir utilisé l'adresse e-mail d'un tiers, ou avoir mandaté une personne pour rédiger et envoyer ces messages, adoptant ainsi un rôle d'instigateur (art. 24 CP) ou de co-auteur. Le fait qu'il ait remis les accès à son téléphone portable ne le disculpe donc pas. L'instruction portera sur cet aspect, mais, en l'état, les dénégations du recourant ne suffisent pas à supprimer les forts soupçons qui pèsent sur lui s'agissant des infractions commises après la date de sa précédente libération. Le grief est dès lors infondé. Au surplus, l'instruction poursuit son cours, des actes d'instruction étant ordonnés.</w:t>
      </w:r>
    </w:p>
    <w:p>
      <w:r>
        <w:rPr>
          <w:b/>
        </w:rPr>
        <w:t>E. 3</w:t>
      </w:r>
    </w:p>
    <w:p>
      <w:r>
        <w:t>Le recourant conteste tout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l'occurrence, compte tenu de la nationalité suisse du recourant, aucun risque de fuite n'avait été retenu en décembre 2023 par le TMC. Depuis lors, le prévenu s'est rendu à l'étranger sans en avertir le Ministère public, et n'a pas comparu à l'audience du 2 septembre 2024, alors qu'il était informé de sa tenue et des risques encourus en cas de non présentation. Puis, après avoir pris connaissance de sa citation à comparaître à une nouvelle audience, prévue le 19 septembre 2024, il a écrit au Procureur pour l'informer de son intention de ne pas s'y rendre, ce qui a conduit à la délivrance, par le Ministère public, d'un mandat d'arrêt. Si le recourant a fini par revenir en Suisse, le 24 septembre 2024, il n'a volontairement pas donné suite à deux citations à comparaître. Il existe ainsi désormais un risque concret que le recourant, pour éviter une nouvelle incarcération – s'il devait être libéré – et parce qu'il se sent mieux et " en sécurité " en Arabie Saoudite ou au Maroc, ne préfère quitter la Suisse nonobstant ses attaches dans ce pays. C'est donc à bon droit que l'autorité précédente a retenu un risque de fuite.</w:t>
      </w:r>
    </w:p>
    <w:p>
      <w:r>
        <w:rPr>
          <w:b/>
        </w:rPr>
        <w:t>E. 4</w:t>
      </w:r>
    </w:p>
    <w:p>
      <w:r>
        <w:t>Le recourant conteste également tout risque de réitération.</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En l'espèce, lors de la mise en liberté du recourant, en décembre 2023, il lui a été fait interdiction d'entrer en contact, sous quelque forme que ce soit, avec les parties, soit notamment X______/H______. Pour les raisons sus-exposées, le recourant est fortement soupçonné d'avoir adressé, le 7 septembre 2024, un courriel au conseil de cette dernière, à son attention, l'informant que, s'ils osaient " toucher à A______ ", ils seraient tués. Il a également envoyé un courriel similaire à l'adresse électronique du Pouvoir judiciaire. Le risque de réitération s'est dès lors réalisé, rendant ainsi très élevée l'éventualité de nouvelles démarches similaires. Or, les menaces de mort constituent un délit grave, en tant qu'elles portent atteinte à la paix intérieure et au sentiment de sécurité des personnes auxquelles elles sont adressées (M. DUPUIS / L. MOREILLON / C. PIGUET / S. BERGER / M. MAZOU / V. RODIGARI (éds), Code pénal - Petit commentaire , 2ème éd., Bâle 2017, n. 2 ad art. 180 CP et les références citées). Le recourant étant fortement soupçonné d'avoir envoyé deux courriels alors qu'il était déjà sous le coup de mesures de substitution lui faisant interdiction de contacter la plaignante, il est à craindre, s'il devait être libéré, qu'il ne réitère ses menaces. Voire ne les mette à exécution, puisqu'il tient la plaignante responsable de ses déboires avec les autorités pénales et que l'on ne sait en l'état pas [tant que les conclusions de l'expertise psychiatrique n'auront pas été rendues] comment l'empêcher d'agir. Il existe donc un risque concret de réitération.</w:t>
      </w:r>
    </w:p>
    <w:p>
      <w:r>
        <w:rPr>
          <w:b/>
        </w:rPr>
        <w:t>E. 5</w:t>
      </w:r>
    </w:p>
    <w:p>
      <w:r>
        <w:t>L'admission de ces risques indiscutables dispense l'autorité de recours d'examiner si s'y ajoutent des risques – alternatifs – de collusion (arrêts du Tribunal fédéral 7B_188/2024 du 12 mars 2024 consid. 6.3.1 et 1B_197/2023 du 4 mai 2023 consid. 4.5).</w:t>
      </w:r>
    </w:p>
    <w:p>
      <w:r>
        <w:rPr>
          <w:b/>
        </w:rPr>
        <w:t>E. 6</w:t>
      </w:r>
    </w:p>
    <w:p>
      <w:r>
        <w:t>Le recourant propose des mesures de substitution pour pallier les risques retenus.</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En l'occurrence, l'envoi d'un courriel au conseil de l'une des plaignantes, le 7 septembre 2024, viole l'interdiction de contact, et réalise le risque de réitération. Le recourant a également estimé ne plus avoir besoin du traitement psychothérapeutique, alors que celui-ci demeurait imposé. Le recourant semble ainsi, dans la durée, avoir de la peine à se conformer aux mesures de substitution, de sorte que de lui imposer des mesures encore plus contraignantes (bracelet électronique, interdiction de se rendre à l'étranger, dépôt du passeport, obligation de se présenter à un poste de police) paraît illusoire. Quoi qu'il en soit, le port d'un bracelet électronique, ainsi que l'interdiction de sortir du territoire, même couplée à un dépôt des pièces d'identité, ne pourraient pas empêcher le recourant de quitter la Suisse par la route, pour se rendre, par exemple, au Maroc. Au vu de l'enjeu que représente pour lui la présente procédure, qui plus est dans l'optique de l'expertise psychiatrique à venir – bien qu'il affirme vouloir s'y soumettre – le risque est grand que le recourant préfère se réfugier dans un pays où il se sentirait plus " en sécurité ". Le versement d'une caution par un tiers, quel que soit le montant, ne suffirait donc pas, dans ce contexte, à garantir sa présentation aux actes de la procédure. Les restrictions ne sauraient, en outre, pallier le risque de réitération. Aucune mesure de substitution n'est donc apte, en l'état, à pallier les risques retenus.</w:t>
      </w:r>
    </w:p>
    <w:p>
      <w:r>
        <w:rPr>
          <w:b/>
        </w:rPr>
        <w:t>E. 7</w:t>
      </w:r>
    </w:p>
    <w:p>
      <w:r>
        <w:t>Compte tenu de la gravité des infractions retenues, en particulier les menaces, la mise en détention provisoire du recourant, pour trois mois, ne viole pas le principe de la proportionnalité (art. 197 al. 1 et 212 al. 3 CPP). Le recourant, qui invoque la pénibilité de son incarcération, ne démontre pas qu'il serait incapable de subir la détention provisoire pour des motifs très sérieux de santé, ni qu'un traitement administré en milieu carcéral ne serait pas de nature à en atténuer les effets.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un premier contrôle des charges par l'autorité de recours pouvait se justifier en début de détention.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