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P/6232/2021 vom 22. September 2021</w:t>
      </w:r>
    </w:p>
    <w:p>
      <w:r>
        <w:t>GE Cour de justice, 2021-09-22, FR</w:t>
      </w:r>
    </w:p>
    <w:p>
      <w:r>
        <w:rPr>
          <w:b/>
        </w:rPr>
        <w:t xml:space="preserve">Quelle: </w:t>
      </w:r>
      <w:r>
        <w:t>https://mcp.opencaselaw.ch/entscheid/ge_gerichte_P_6232_2021</w:t>
      </w:r>
    </w:p>
    <w:p>
      <w:r>
        <w:t>FR: GE_GERICHTE P/6232/2021 du 22 septembre 2021</w:t>
      </w:r>
    </w:p>
    <w:p>
      <w:r>
        <w:t>IT: GE_GERICHTE P/6232/2021 del 22 settembre 2021</w:t>
      </w:r>
    </w:p>
    <w:p>
      <w:pPr>
        <w:pStyle w:val="Heading2"/>
      </w:pPr>
      <w:r>
        <w:t>Regeste</w:t>
      </w:r>
    </w:p>
    <w:p>
      <w:r>
        <w:t>ORDONNANCE DE NON-ENTRÉE EN MATIÈRE;ENCOURAGEMENT À LA PROSTITUTION;SOUSTRACTION D'UNE CHOSE MOBILIÈRE;VOIES DE FAIT | CPP.310.al1.leta; CP.195.al2; CP.180; CP.141; CP.126.al1</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devant la Chambre de céans sont recevables (arrêt du Tribunal fédéral 1B_368/2014 du 5 février 2015 consid. 3.2 in fine ).</w:t>
      </w:r>
    </w:p>
    <w:p>
      <w:r>
        <w:rPr>
          <w:b/>
        </w:rPr>
        <w:t>E. 2</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3</w:t>
      </w:r>
    </w:p>
    <w:p>
      <w:r>
        <w:t>La recourante conclut, préalablement, à être autorisée à compléter son recours, se plaignant indirectement d'une violation de son droit d'être entendue pour ne pas avoir pu accéder au dossier avant que le Ministère public ne rende l'ordonnance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La motivation d'un acte de recours doit être entièrement contenue dans l'acte de recours lui-même et ne peut être complétée ou corrigée après l'échéance du délai de recours, lequel ne peut être prolongé (art. 89 al. 1 CPP; arrêt du Tribunal fédéral 1B_183/2019 du 18 avril 2019 consid. 2).</w:t>
      </w:r>
    </w:p>
    <w:p>
      <w:r>
        <w:rPr>
          <w:b/>
        </w:rPr>
        <w:t>E. 3.4</w:t>
      </w:r>
    </w:p>
    <w:p>
      <w:r>
        <w:t>En l'espèce, les auditions de la mise en cause et du témoin ont été effectuées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ou lui donner accès au dossier. Pour le surplus, dans son acte de recours dûment motivé (art. 385 al. 1 CPP), la recourante a pu faire valoir devant la Chambre de céans les arguments qu'elle estimait pertinents. Elle a ensuite renoncé à répliquer. Son droit d'être entendue a ainsi été pleinement respecté. Il s'ensuit que le grief doit être rejeté et sa demande de compléter le recours, infondé.</w:t>
      </w:r>
    </w:p>
    <w:p>
      <w:r>
        <w:rPr>
          <w:b/>
        </w:rPr>
        <w:t>E. 4</w:t>
      </w:r>
    </w:p>
    <w:p>
      <w:r>
        <w:t>La recourante soutient que le Ministère public aurait violé le principe " in dubio pro duriore " pour ne pas être entré en matière sur sa plainte pénale et que la reprise de l'instruction s'imposait dans tous les cas au vu de nouveaux moyens de preuve.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Se rend coupable d'encouragement à la prostitution (art. 195 al. 2 CP) celui qui, profitant d'un rapport de dépendance ou dans le but de tirer un avantage patrimonial, aura poussé autrui à se prostituer.</w:t>
      </w:r>
    </w:p>
    <w:p>
      <w:r>
        <w:rPr>
          <w:b/>
        </w:rPr>
        <w:t>E. 4.3</w:t>
      </w:r>
    </w:p>
    <w:p>
      <w:r>
        <w:t>L'art. 180 al. 1 CP réprime le comportement de celui qui, par une menace grave, aura alarmé ou effrayé une personne.</w:t>
      </w:r>
    </w:p>
    <w:p>
      <w:r>
        <w:rPr>
          <w:b/>
        </w:rPr>
        <w:t>E. 4.4</w:t>
      </w:r>
    </w:p>
    <w:p>
      <w:r>
        <w:t>À teneur de l'art. 141 CP, sera puni celui qui, sans dessein d'appropriation, aura soustrait une chose mobilière à l'ayant droit et lui aura causé par là un préjudice considérable.</w:t>
      </w:r>
    </w:p>
    <w:p>
      <w:r>
        <w:rPr>
          <w:b/>
        </w:rPr>
        <w:t>E. 4.6</w:t>
      </w:r>
    </w:p>
    <w:p>
      <w:r>
        <w:t>En l'espèce, la parole de la recourante s'oppose à celle de la mise en cause, de même qu'à celle de G______. Les déterminations de ce dernier corroborent en effet celles de E______ et contredisent celles de la recourante. Même si un lien d'amitié étroit lie le témoin à la mise en cause, le discours de G______ semble cohérent et empreint de critique tant envers la mise en cause que la recourante, si bien que contrairement à ce que soutient cette dernière, son témoignage est à prendre en considération pour apprécier le cas d'espèce et ne peut d'emblée être écarté. Malgré les explications avancées dans son recours, les déclarations de la recourante restent, quant à elles, peu crédibles, dès lors qu'elle s'est contredite à plusieurs reprises lors de son audition à la police sur les circonstances de ses dénonciations. Elle argue avoir peur de la police et des autorités, en raison des faits survenus au Brésil et de sa situation irrégulière en Suisse, mais cela ne l'a pas empêchée de porter plainte, en juin 2019, contre l'ex-compagnon de E______, alors même qu'il aurait été violent envers elle et qu'elle aurait été, à cette période, sous l'emprise de la mise en cause. Durant ce même mois, la police était pourtant intervenue à deux reprises dans l'appartement, sans que la recourante ne dénonce le moindre fait reproché en lien avec la mise en cause. Depuis janvier 2019, dans le cadre de la procédure P/2______/2019, la recourante a en outre été entendue par la police, ayant par la suite obtenu le statut de partie plaignante, si bien que les autorités étaient bien conscientes de son statut administratif. Contrairement à ce que soutient la recourante, la présente procédure n'était pas instruite en parallèle à la P/2______/2019, laquelle a débuté en janvier 2019, puisque la recourante a dénoncé les faits seulement en octobre 2020, soit après le rejet de sa demande d'asile et lors de sa troisième audition auprès du SEM. Les déclarations de la précitée, effectuées lors de l'audience au Ministère public du 3 septembre 2021 concernant la P/2______/2019, ne suffisent pas de surcroit à concrétiser une prévention pénale suffisante contre E______, d'autant plus que la recourante a précisé que c'était uniquement à cause de l'ex-compagnon de la mise en cause que celle-ci l'aurait frappée, ce qui contredit ses déclarations initiales sur ce point. Ainsi, force est de constater que les déclarations de la recourante n'apparaissent pas suffisamment plausibles pour fonder une prévention pénale à l'encontre de E______, compte tenu tant des circonstances de sa dénonciation que de ses nombreuses contradictions. Pour le surplus, il ressort du rapport de renseignements du 14 juin 2021 que D______ n'a pas pu être localisé, faisant l'objet d'un avis de recherche et d'arrestation, ce que la recourante ne conteste pas. La confrontation des parties serait en outre inutile puisqu'on ne voit pas pourquoi elles changeraient leurs déclarations, étant rappelé que E______ a toujours contesté l'intégralité des faits reprochés. Quant à une déposition complémentaire de la recourante, elle n'apparaît davantage pas nécessaire pour apprécier les faits, celle-ci s'étant largement exprimée dans le cadre de son recours. Aucun acte d'enquête n'étant susceptible d'apporter des éléments utiles, propres à confirmer ou à infirmer les versions données par les parties, c'est en bon droit que le Ministère public n'est pas entré en matière sur les faits dénoncés. Enfin, le grief de la recourante en lien avec " la reprise " de la poursuite, au sens de l'art. 323 al. 1 CPP, qui vise en réalité l'ouverture d'une instruction, tombe à faux. En effet, l'audition de sa fille ne saurait révéler une responsabilité pénale suffisante à l'encontre de la mise en cause au vu de ses liens de filiation avec elle, d'une part, et du fait qu'elle n'était pas présente lors des prétendus actes de violence, ayant été, selon la recourante, uniquement témoin de ces faits par le biais de vidéoconférences, d'autre part.</w:t>
      </w:r>
    </w:p>
    <w:p>
      <w:r>
        <w:rPr>
          <w:b/>
        </w:rPr>
        <w:t>E. 5</w:t>
      </w:r>
    </w:p>
    <w:p>
      <w:r>
        <w:t>Justifiée l'ordonnance querellée sera confirmée et le recours rejeté.</w:t>
      </w:r>
    </w:p>
    <w:p>
      <w:r>
        <w:rPr>
          <w:b/>
        </w:rPr>
        <w:t>E. 6</w:t>
      </w:r>
    </w:p>
    <w:p>
      <w:r>
        <w:t>La recourante requiert le bénéfice de l'assistance judiciaire ainsi que la nomination d'office de son conseil.</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quand bien même la recourante serait indigente, l'absence de chance de succès de sa démarche à l'encontre de E______ et, partant, de l'action civile doivent conduire au rejet de sa requête d'assistance judiciaire.</w:t>
      </w:r>
    </w:p>
    <w:p>
      <w:r>
        <w:rPr>
          <w:b/>
        </w:rPr>
        <w:t>E. 7</w:t>
      </w:r>
    </w:p>
    <w:p>
      <w:r>
        <w:t>La recourante, qui succombe, supportera les frais envers l'État, arrêtés en totalité à CHF 500.- pour tenir compte de sa situation financière qui n'apparaît pas favorable (art. 428 al. 1 CPP et 13 al. 1 du Règlement fixant le tarif des frais en matière pénale, RTFMP;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