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P/6219/2010 vom 18. August 2014</w:t>
      </w:r>
    </w:p>
    <w:p>
      <w:r>
        <w:t>GE Cour de justice, 2014-08-18, FR</w:t>
      </w:r>
    </w:p>
    <w:p>
      <w:r>
        <w:rPr>
          <w:b/>
        </w:rPr>
        <w:t xml:space="preserve">Quelle: </w:t>
      </w:r>
      <w:r>
        <w:t>https://mcp.opencaselaw.ch/entscheid/ge_gerichte_P_6219_2010</w:t>
      </w:r>
    </w:p>
    <w:p>
      <w:r>
        <w:t>FR: GE_GERICHTE P/6219/2010 du 18 août 2014</w:t>
      </w:r>
    </w:p>
    <w:p>
      <w:r>
        <w:t>IT: GE_GERICHTE P/6219/2010 del 18 agosto 2014</w:t>
      </w:r>
    </w:p>
    <w:p>
      <w:pPr>
        <w:pStyle w:val="Heading2"/>
      </w:pPr>
      <w:r>
        <w:t>Regeste</w:t>
      </w:r>
    </w:p>
    <w:p>
      <w:r>
        <w:t>LÉSION CORPORELLE; LÉSION CORPORELLE GRAVE; LÉSION CORPORELLE PAR NÉGLIGENCE; LÉGITIME DÉFENSE; EXCÈS; FIXATION DE LA PEINE; ATTÉNUATION DE LA PEINE | CPP.404; CP.122; CP.125; CP.15; CP.16; CP.48</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L’objet de l’appel et donc le cadre des débats est fixé définitivement par la déclaration d’appel (cf. art. 399 al. 4 CPP), ce qui a pour conséquence qu’une partie ne peut plus élargir son appel à d’autres points au-delà du délai de vingt jours de l’art. 399 al. 3 CPP (cf. A. KUHN / Y. JEANNERET (éds), Commentaire romand : Code de procédure pénale suisse , Bâle 2011, n. 21 ad art. 399 CPP). En l'espèce, l'appelant conclut nouvellement au début de son mémoire d'appel motivé à son acquittement du chef de l'infraction de délit de fuite (art. 92 ch. 2 aLCR), conclusion non mentionnée dans sa déclaration d'appel, et partant irrecevable. La reconnaissance de culpabilité de ce chef n'est au surplus ni illégale, ni inéquitable, l'appelant ayant poursuivi sa route après avoir heurté le cycliste, puis s'étant enfui après avoir percuté l'intimé et ayant poursuivi sa soirée alors même qu'il avait constaté des gouttes de sang sur son véhicule à son arrivée à la boîte de nuit.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3</w:t>
      </w:r>
    </w:p>
    <w:p>
      <w:r>
        <w:t>2. Selon l'art. 125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d'une part, que l'auteur ait violé les règles de prudence que les circonstances lui imposaient pour ne pas excéder les limites du risque admissible et que, d'autre part, il n'ait pas prêté l'attention ou fait les efforts que l'on pouvait attendre de lui compte tenu de ses circonstances personnelles pour se conformer à son devoir (ATF 129 IV 119 consid. 2.1 p. 121 ; ATF 122 IV 17 consid. 2b p. 19 ; ATF 121 IV 207 consid. 2a p. 211 ; arrêt du Tribunal fédéral 6B_675/2007 du 20 juin 2008 consid. 2.1).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des devoirs de la prudence peut aussi être déduite des principes généraux, si aucune règle spéciale de sécurité n'a été violée (ATF 135 IV 56 , consid. 2.1 p. 64 ; ATF 133 IV 158 consid. 5.1 p. 162 ; ATF 129 IV 119 consid. 2.1 p. 121 ; 127 IV 62 consid. 2d p. 65 ; 126 IV 13 consid. 7a/bb p. 17 ; 122 IV 17 consid. 2b/aa p. 20). 3.3.1.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qui tend à prévenir une attaque certes possible mais encore incertaine, c'est-à-dire à neutraliser l'adversaire selon le principe que la meilleure défense est l'attaque ne relève pas de la légitime défense (ATF 93 IV 81 p. 83 ; arrêt du Tribunal fédéral 6B_889/2013 du 17 février 2014 consid. 2.1). 3.3.2. Il y a légitime défense putative si l'auteur agit sous l'emprise d'une erreur sur les faits, en croyant par erreur qu'une attaque imminente menace de se produire (ATF 129 IV 6 consid. 3.2). Celui qui s'en prévaut doit prouver que son jugement s'est fondé sur des circonstances de fait qui expliquent son erreur. La simple impression qu'une attaque ou une menace imminente sont possibles ne suffit pas à faire admettre cet état (ATF 93 IV 81 consid. 2b p. 84-85). 3.3.3. Lorsque celui qui repousse une attaque excède les bornes de la légitime défense, le juge atténue librement la peine, conformément à l'art. 48a CP (art. 16 al. 1 CP). Si l'excès provient d'un état excusable d'excitation ou de saisissement causé par l'attaque, l'auteur n'agit pas de manière coupable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(ATF 102 IV 1 consid. 3b p. 7 ; arrêts du Tribunal fédéral 6B_65/2011 du 8 septembre 2011 consid. 3.1. et 6S.29/2005 du 12 mai 2005 consid. 3).</w:t>
      </w:r>
    </w:p>
    <w:p>
      <w:r>
        <w:rPr>
          <w:b/>
        </w:rPr>
        <w:t>E. 4</w:t>
      </w:r>
    </w:p>
    <w:p>
      <w:r>
        <w:t>En l'espèce, les lésions corporelles subies par l'intimé sont sans conteste graves, attendu qu'il a subi un traumatisme crânien qui aurait entraîné la mort n'eût été l'intervention rapide des secours, qu'il souffre encore aujourd'hui d'importantes séquelles attestées par ses médecins traitants et sa compagne et qu'il a notamment été contraint de renoncer à son emploi de laborantin. L'appelant n'évoque d'ailleurs plus l'éventualité de lésions corporelles simples dans sa réplique. Bien qu'aucun protagoniste n'ait vu le moment où l'intimé a été percuté, la Cour considère qu'il est établi que ces lésions corporelles graves ont été causées par l'appelant, les lésions subies ne pouvant s'expliquer, à dire de médecins, que par un choc, infirmant ainsi l'hypothèse d'une simple chute de l'intimé. L'appelant a d'ailleurs admis, lors de l'audience de jugement, avoir percuté l'intimé et lui avoir causé toutes les lésions constatées dans les rapports médicaux et a reconnu dès le début de l'enquête qu'il avait heurté la personne qui était à l'avant gauche de son véhicule. Quant à l'élément subjectif, la Cour estime qu'il existe un faisceau important d'indices convergents établissant que l'appelant, s'il n'a certes pas souhaité ce résultat dramatique, a accepté l'éventualité qu'il se produise et s'en est accommodé. Tout d'abord, le comportement particulièrement dangereux de l'appelant précédant directement l'accident avec l'intimé, soit une conduite sur la voie réservée aux trams et cycles, un délit de fuite après avoir heurté un cycliste se trouvant sur cette voie, un dépassement de vitesse ainsi que le non-respect d'un feu au rouge, bien que n'étant pas directement lié à l'infraction ici reprochée, indique nettement que celui-ci ne se préoccupait guère ce soir-là de la sécurité d'autrui. Ensuite, s'agissant de l'accident lui-même, l'appelant a démarré et effectué diverses manœuvres brusques et rapides pour se dégager, malgré la présence de piétons tout proches. Le fait de démarrer de la sorte comportait inévitablement le risque d'une mauvaise maîtrise et celui de heurter les personnes alentour. L'appelant ne pouvait dès lors ignorer et a accepté, du moins par dol éventuel, qu'il pouvait blesser une de ces personnes, de manière potentiellement grave, tant il est notoire qu'un choc entre une voiture et un piéton peut avoir ce genre de conséquences. Enfin, l'appelant reconnaît qu'il avait vu qu'une personne s'était placée à l'avant gauche de son véhicule, puis senti qu'il l'avait touchée et qu'après le choc elle avait disparu de son champ de vision, ce qui confirme qu'il savait prendre un risque au moment où il a redémarré et s'en est accommodé. Compte tenu de ce qui précède, c'est à juste titre que le premier juge a reconnu l'appelant coupable de lésions corporelles graves à tout le moins par dol éventuel. Le premier juge a considéré à bon droit que l'appelant ne se trouvait pas objectivement en situation de légitime défense, la Cour se ralliant sur ce point aux motifs retenus. D'un point de vue subjectif, en revanche, il faut admettre, contrairement au premier juge, que l'appelant pouvait croire à une attaque et craindre pour son intégrité physique en voyant un véhicule lui bloquer brusquement la route et plusieurs personnes en sortir pour encercler son propre véhicule. Bien qu'en état de légitime défense putative, l'appelant a agi de manière coupable. Sa réaction à l'attaque supposée apparaît en effet largement disproportionnée, sans qu'elle soit imputable à un état excusable d'excitation. Ainsi, au lieu de prendre et de voir réaliser les risques précédemment décrits, l'appelant aurait pu verrouiller les portes de son véhicule ou contacter la police. Il aurait également pu quitter les lieux, mais en observant les règles de prudence élémentaire. Le heurt avec le cycliste et l'agitation qui régnait dans son véhicule ont généré l'excitation dans laquelle il se trouvait avant même l'attaque supposée. La culpabilité de l'appelant sera en conséquence confirmée, et l'excès non excusable de légitime défense putative pris en compte dans le cadre de la fixation de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consid. 5.5. p. 59 s. ; ATF 134 IV 17 consid. 2.1 p. 19 ss ; ATF 129 IV 6 consid. 6.1 p. 20 ; arrêt du Tribunal fédéral 6B_198/2013 du 3 juin 2013 consid. 1.1.1).</w:t>
      </w:r>
    </w:p>
    <w:p>
      <w:r>
        <w:rPr>
          <w:b/>
        </w:rPr>
        <w:t>E. 4.2</w:t>
      </w:r>
    </w:p>
    <w:p>
      <w:r>
        <w:t>.1. Selon l'art. 48 let. a ch. 2 CP, le juge atténue la peine si l'auteur a agi dans une détresse profonde (ch. 2), respectivement sous l'effet d'une menace grave (ch. 3). La circonstance de la détresse profonde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Agit sous l’effet d’une menace grave celui qui commet une infraction sous l’empire d’une force contraignante, d’une menace ou d’une violence relativement irrésistible, telle que la contrainte psychique (M. DUPUIS / B. GELLER / G. MONNIER / L. MOREILLON / C. PIGUET (éds), Code pénal, Petit commentaire , Bâle 2012, n. 12 ad art. 48).</w:t>
      </w:r>
    </w:p>
    <w:p>
      <w:r>
        <w:rPr>
          <w:b/>
        </w:rPr>
        <w:t>E. 4.2.2</w:t>
      </w:r>
    </w:p>
    <w:p>
      <w:r>
        <w:t>Conformément à l'art. 48 let. c CP, le juge atténue également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119 IV 203 consid. 2a p. 204 ; ATF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w:t>
      </w:r>
    </w:p>
    <w:p>
      <w:r>
        <w:rPr>
          <w:b/>
        </w:rPr>
        <w:t>E. 4.2.3</w:t>
      </w:r>
    </w:p>
    <w:p>
      <w:r>
        <w:t>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p. 99 et les références citées ; arrêt du Tribunal fédéral 6B_532/2012 du 8 avril 2013 consid. 5 et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 arrêt du Tribunal fédéral 6B_532/2012 du 8 avril 2013 consid. 5 et 6B_265/2010 du 13 août 2010 consid.1.1). La bonne collaboration à l'enquête peut, même lorsqu'elle ne remplit pas les conditions d'un repentir sincère, constituer un élément favorable pour la fixation de la peine dans le cadre ordinaire de l'art. 47 CP. Un geste isolé ou dicté par l'approche du procès pénal ne suffit pas (ATF 107 IV 98 consid. 1 p. 99). 4.3.1.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4.3.2. Lorsque la peine privative de liberté est d'une durée telle qu'elle permette le choix entre le sursis complet (art. 42 CP) et le sursis partiel (art. 43 CP), soit entre un et deux ans au plus, l'octroi du sursis au sens de l'art. 42 CP est la règle et le sursis partiel l'exception. Celle-ci ne peut être admise que si l'octroi du sursis à l'exécution d'au moins une partie de la peine nécessite, à des fins de prévention spéciale, que l'autre partie de la peine soit exécutée (arrêts du Tribunal fédéral 6B_434/2013 du 7 mai 2014 consid. 3.2. et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Le rapport entre les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 arrêt du Tribunal fédéral 6B_664/2007 du 18 janvier 2008 consid. 3.2.4). 4.3.3.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 4.4.1. En l'espèce, la faute de l'appelant est lourde. Il a adopté un style de conduite particulièrement dangereux au mépris total des règles de la circulation routière et des devoirs d'assistance les plus élémentaires pour ne tenir compte que de son propre intérêt. Les conséquences de ses actes sont particulièrement graves, la mort d'un homme n'ayant été évitée que grâce à des secours efficaces. L'intimé, qui se remet péniblement de l'accident, souffre et souffrira à vie de séquelles importantes. Même si l'état d'excitation dans lequel l'appelant et ses passagers se trouvaient après le choc avec le cycliste est susceptible d'expliquer dans une certaine mesure sa réaction lorsque la Honda Accord lui a bloqué la route, les circonstances atténuantes de la détresse profonde, de la menace grave et de l'émotion violente ne sont pas réalisées, faute d'éléments objectifs justifiant de tels états. L'état de panique dans lequel l'appelant dit s'être retrouvé est principalement lié à l'excitation qui régnait dans son véhicule, due notamment à l'alcoolisation de ses passagers et au heurt avec ce cycliste ainsi qu'à la fuite subséquente, et non pas à des circonstances échappant à sa volonté. L'intensité des émotions ressenties est douteuse, l'appelant ayant poursuivi sa soirée comme si de rien n'était. Enfin, en tout état, sa réaction est largement disproportionnée. Quant au repentir sincère, le fait que l'appelant soit venu spontanément se dénoncer à la police relève plus de la bonne collaboration à l'instruction, qui doit être retenue à sa décharge, que d'un réel effort d'amendement. Par ailleurs, l'appelant a certes réparé le dommage matériel causé au cycliste, présenté ses excuses à l'intimé lors des audiences devant le Ministère public et semble être très affecté par les événements, mais une telle attitude n'est pas méritoire au point qu'elle puisse être constitutive d'un repentir sincère au sens de la jurisprudence. Elle relève plutôt d'une prise de conscience de la gravité des actes commis, contrebalancée cependant par le fait que l'appelant persiste à minimiser sa culpabilité à l'égard de l'intimé. Comme retenu précédemment, vu la réaction excessive et non excusable de l'appelant, l'état de légitime défense putative ne sera pris en considération que comme facteur d'atténuation de la peine. L'appelant n'a pas d'antécédents inscrits au casier judiciaire, mais a lui-même fait état d'antécédents liés à un excès de vitesse et a déclaré avoir réitéré une consommation excessive d'alcool au volant. Il y a concours d'infractions. A sa décharge, l'appelant était très jeune au moment des faits. Il semble avoir depuis complètement changé de vie, habitant désormais en France avec sa compagne et se montrant assidu dans son nouvel emploi de charpentier. Au vu des considérations qui précèdent, la peine infligée par le premier juge apparaît légèrement excessive, et sera ramenée à dix-huit mois de privation de liberté. L'appel sera par conséquent admis et le jugement entrepris réformé sur ce point. 4.4.2. Comme l'a relevé le premier juge, l'attitude de l'appelant au moment des faits, qui n'a pas hésité à fuir à deux reprises, dont une fois après avoir commis une infraction grave, l'antécédent d'excès de vitesse, la suspension, subséquente aux faits, de son permis de conduire pour alcool au volant et la prise de conscience limitée de la gravité de sa faute, sans permettre de conclure à un pronostic nettement défavorable, indiquent que seul un signal fort est à même de le détourner durablement de la commission de nouvelles infractions. En conséquence, c'est à juste titre et pour des motifs que la Cour fait siens, que le premier juge a refusé à l'appelant le sursis total. Cela étant, compte tenu de la peine réduite prononcée par la Chambre de céans et des perspectives d'amendement de l'appelant, la partie ferme de la peine privative de liberté sera ramenée à six mois. S'agissant de la partie suspendue de la peine, le délai d'épreuve, arrêté à quatre ans par le premier juge, sera confirmé, aux fins de limiter le risque que l'appelant adopte de nouveau des comportements dangereux au volant.</w:t>
      </w:r>
    </w:p>
    <w:p>
      <w:r>
        <w:rPr>
          <w:b/>
        </w:rPr>
        <w:t>E. 5.1</w:t>
      </w:r>
    </w:p>
    <w:p>
      <w:r>
        <w:t>A teneur de l'art. 106 CP, s auf disposition contraire de la loi, le montant maximum de l'amende est de CHF 10'000.- (al. 1). Celle-ci, de même que la peine privative de liberté de substitution, doit être fixée en tenant compte de la situation de l'auteur afin que la peine corresponde à la faute commise (al. 3). Pour apprécier la situation de l'auteur, le juge tient compte notamment de son revenu et sa fortune, son état civil et ses charges de famille, sa profession et son gain professionnel, son âge et son état de santé, ainsi que l'économie réalisée par la commission de l'infraction (ATF 129 IV 6 consid. 6.1 p. 20 s.)</w:t>
      </w:r>
    </w:p>
    <w:p>
      <w:r>
        <w:rPr>
          <w:b/>
        </w:rPr>
        <w:t>E. 5.2</w:t>
      </w:r>
    </w:p>
    <w:p>
      <w:r>
        <w:t>En l'espèce, parmi les infractions reprochées à l'appelant, les suivantes sont passibles de l'amende : la violation des devoirs en cas d'accident (art. 92 ch. 1 aLCR et la violation des règles de la circulation routière (art. 90 ch. 1 aLCR). L'amende fixée par le premier juge, de CHF 1'500.-, tient adéquatement compte de la situation personnelle de l'appelant, célibataire, sans enfants, au bénéfice d'un contrat de travail, et de sa faute et doit dès lors être confirmée, nonobstant le fait que l'infraction visée à l'art. 92 ch. 2 aLCR est mentionnée à tort au titre des infractions pour lesquelles l'amende doit être et a été prononcée (consid. 3.1 et 3.6 du jugement querellé). En effet, cet élément, qui est au demeurant au bénéfice de l'appelant puisque cette infraction est en réalité passible d'une peine pécuniaire ou d'une peine privative de liberté de trois au plus, ne modifie en rien l'appréciation qui doit être faite du montant de l'amende dans le cas d'espèce, le jugement de première instance ne mentionnant pas, a contrario , l'infraction visée à l'art. 92 ch. 1 aLCR.</w:t>
      </w:r>
    </w:p>
    <w:p>
      <w:r>
        <w:rPr>
          <w:b/>
        </w:rPr>
        <w:t>E. 6</w:t>
      </w:r>
    </w:p>
    <w:p>
      <w:r>
        <w:t>Vu l'issue de la procédure d'appel, l'appelant sera débouté de ses conclusions en indemnisation (art. 429 CPP).</w:t>
      </w:r>
    </w:p>
    <w:p>
      <w:r>
        <w:rPr>
          <w:b/>
        </w:rPr>
        <w:t>E. 7.1</w:t>
      </w:r>
    </w:p>
    <w:p>
      <w:r>
        <w:t>Selon l’art. 426 al. 1 CPP, le prévenu supporte les frais de la procédure s’il est condamné. Il doit ainsi rembourser à l’Etat les frais que ce dernier a avancés dans le cadre de la procédure (cf. A. KUHN / Y JEANNERET (eds), op. cit. , n. 1 ad art. 426 CPP), ces frais étant établis conformément au Règlement fixant le tarif des frais en matière pénale du 22 décembre 2010 (RTFMP - E 4 10.03).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w:t>
      </w:r>
    </w:p>
    <w:p>
      <w:r>
        <w:rPr>
          <w:b/>
        </w:rPr>
        <w:t>E. 7.2</w:t>
      </w:r>
    </w:p>
    <w:p>
      <w:r>
        <w:t>C'est à juste titre que le premier juge a mis à charge de l'appelant les frais de la procédure dès lors que celui-ci a été reconnu coupable de l'entier des infractions qui lui sont reprochées à l'exception modeste de la conduite en état d'ébriété. La quotité des frais de procédure, non contestée, est en outre justifiée. Devant la Chambre de céans, l'appelant obtient partiellement gain de cause, de sorte qu'il supportera les trois quarts des frais de la procédure d'appel envers l'Etat (art. 428 CPP), comprenant un émolument de jugement de CHF 2'500.-, le solde étant laissé à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