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P/6213/2020 vom 22. April 2020</w:t>
      </w:r>
    </w:p>
    <w:p>
      <w:r>
        <w:t>GE Cour de justice, 2020-04-22, FR</w:t>
      </w:r>
    </w:p>
    <w:p>
      <w:r>
        <w:rPr>
          <w:b/>
        </w:rPr>
        <w:t xml:space="preserve">Quelle: </w:t>
      </w:r>
      <w:r>
        <w:t>https://mcp.opencaselaw.ch/entscheid/ge_gerichte_P_6213_2020</w:t>
      </w:r>
    </w:p>
    <w:p>
      <w:r>
        <w:t>FR: GE_GERICHTE P/6213/2020 du 22 avril 2020</w:t>
      </w:r>
    </w:p>
    <w:p>
      <w:r>
        <w:t>IT: GE_GERICHTE P/6213/2020 del 22 aprile 2020</w:t>
      </w:r>
    </w:p>
    <w:p>
      <w:pPr>
        <w:pStyle w:val="Heading2"/>
      </w:pPr>
      <w:r>
        <w:t>Regeste</w:t>
      </w:r>
    </w:p>
    <w:p>
      <w:r>
        <w:t>SÉQUESTRE(MESURE PROVISIONNELLE);BLANCHIMENT D'ARGENT;MROS;DROIT D'ÊTRE ENTENDU;MOTIVATION DE LA DÉCISION;PROPORTIONNALITÉ | CPP.197; CPP.263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tiers directement touchés par celle-ci (art. 105 al. 1 let. f CPP), qui ont, dès lors, qualité pour agir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Dans un premier grief d'ordre formel, les recourants se plaignent du défaut de motivation de l'ordonnance querellée.</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 2 e éd., Bâle 2019, n. 34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En revanche, il doit s'y plier - par exemple en accompagnant la communication de l'ordonnance d'une brève motivation ou, à tout le moins, d'une explication succincte sur les faits pertinents - envers le titulaire du compte qui l'interpelle sur les raisons du blocage de son compte. La Chambre de céans ne retient pas le grief de violation du droit d'être entendu lorsque le recourant a reçu postérieurement à l'ordonnance destinée à la banque une motivation séparée. En revanche, un défaut persistant de motivation sur les soupçons à l'origine d'un séquestre conduit à l'admission du recours et au renvoi de la cause au ministère public, tout comme la simple communication au titulaire du compte de l'ordonnance non motivée qui était destinée à la banque ( ACPR/131/2020 du 18 février 2020 consid. 2.1 et les références citées).</w:t>
      </w:r>
    </w:p>
    <w:p>
      <w:r>
        <w:rPr>
          <w:b/>
        </w:rPr>
        <w:t>E. 3.2</w:t>
      </w:r>
    </w:p>
    <w:p>
      <w:r>
        <w:t>En l'espèce, si l'ordonnance querellée adressée à la banque est effectivement insuffisamment motivée, il apparaît qu'une fois sollicité par les recourants, le Ministère public leur a fourni, le 24 avril 2020, certaines explications complémentaires. Ces derniers considèrent que ladite notification ne satisfait toujours pas les exigences légales, au motif qu'elle ne serait pas assez précise. Il faut concéder que les éléments portés à leur connaissance par le Ministère public sont pour le moins sommaires, et se situent à la limite de ce qui est admissible en termes de motivation pour une ordonnance de séquestre, même rendue en début d'enquête. Toutefois, ces éléments permettent de comprendre les faits à la base de l'instruction et, surtout, leurs liens avec les comptes bancaires séquestrés, ce qui, à ce stade, est suffisant sous l'angle du droit d'être entendu. Les recourants ont d'ailleurs parfaitement saisi la portée de la décision, puisqu'ils dénoncent, dans leurs écritures, les procédures en Russie entourant la F______, au travers de laquelle le crime préalable à l'infraction de blanchiment d'argent aurait été commis. Le grief doit être rejeté.</w:t>
      </w:r>
    </w:p>
    <w:p>
      <w:r>
        <w:rPr>
          <w:b/>
        </w:rPr>
        <w:t>E. 4</w:t>
      </w:r>
    </w:p>
    <w:p>
      <w:r>
        <w:t>Les recourants élèvent ensuite plusieurs griefs contre la mesure de séquestre elle-même.</w:t>
      </w:r>
    </w:p>
    <w:p>
      <w:r>
        <w:rPr>
          <w:b/>
        </w:rPr>
        <w:t>E. 4.1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let. a, c et d CPP et 71 al. 3 CP).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p. 364).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 arrêt du Tribunal fédéral 1B_414/2019 du 13 janvier 2020 consid. 2.1 et les arrêts cités).</w:t>
      </w:r>
    </w:p>
    <w:p>
      <w:r>
        <w:rPr>
          <w:b/>
        </w:rPr>
        <w:t>E. 4.2</w:t>
      </w:r>
    </w:p>
    <w:p>
      <w:r>
        <w:t>À la lumière de ces principes, aucune des critiques formulées par les recourants ne s'avère fondée. Contrairement à ce qu'ils avancent, la " dénonciation MROS ", à laquelle le Ministère public fait référence dans son courrier du 24 avril 2020, n'est pas une communication d'une personne privée sur la base de l'art. 9 LBA, mais bien une dénonciation pénale, provenant d'une autorité étatique (le MROS) dont la mission est d'analyser les informations reçues des intermédiaires financiers, puis de les transférer aux autorités pénales lorsque des soupçons fondés permettent notamment de présumer qu'une infraction au sens de l'art. 305 bis CP a été commise ou que des valeurs patrimoniales proviennent d'un crime (cf. art. 23 al. 2 et 4 let. a et b LBA). Cela étant, une telle dénonciation paraît à même de fonder des soupçons suffisants (art. 197 al. 1 let. b CPP) au prononcé d'un séquestre. Le Ministère public fait d'ailleurs expressément référence à un détournement de fonds de la F______, à propos de laquelle les recourants admettent qu'une procédure pénale, visant notamment A______, est en cours en Russie. Dans ces circonstances, l'autorité d'instruction, qui doit statuer rapidement sur la base des informations à sa disposition, pouvait soupçonner que des valeurs provenant de ce détournement avaient transité sur les comptes bancaires des recourants, et donc ordonner leur séquestre. Le fait que l'ordonnance querellée ne se fonde que sur l'art. 263 CPP, sans préciser le motif exact du séquestre, n'apparaît pas critiquable dans ce cadre, dès lors qu'on comprend aisément, à la lecture du pli du 24 avril 2020, qu'il existe une probabilité, si ce n'est de confiscation, à tout le moins de créance compensatrice. Si une telle probabilité devra nécessairement se renforcer au cours de l'enquête, on ne saurait, selon la jurisprudence précitée, se montrer trop exigeant aux premiers stades de celle-ci, ce d'autant plus qu'en l'espèce, le Ministère public n'a semble-t-il pas encore reçu la documentation bancaire et n'a donc pas pu procéder à son analyse. C'est le lieu de souligner qu'aussi longtemps que cette probabilité demeure, la mesure sert l'intérêt public (L. MOREILLON / A. PAREIN-REYMOND, Petit commentaire CPP , 2 e éd., Bâle 2016, n. 6 ad Rem. prél. aux art. 263 à 268). On ne voit par ailleurs pas que ce but puisse être atteint par des mesures moins sévères (art. 197 al. 1 let. c CPP) consistant, comme le proposent les recourants, en un examen plus attentif de la dénonciation MROS. Enfin, pour affirmer que le séquestre n'est pas justifié par la situation ou la gravité de l'infraction (cf. art. 197 al. 1 let. d CPP), les recourants se fondent uniquement sur l'absence de soupçons suffisants ou de motif précis du séquestre, soit des arguments qui, on l'a vu, sont dénués de consistance. Les diverses critiques formulées à l'encontre de la procédure menée en Russie pourront faire l'objet de l'instruction, si le Ministère public l'estime nécessaire, en particulier pour juger de l'existence d'un crime préalable commis à l'étranger (cf. art. 305 bis ch. 3 CP). En l'état toutefois, ces éléments ne suffisent pas à renverser les considérations qui précèdent et à retenir que le séquestre prononcé serait inopportun, car s'apparentant à une recherche indéterminée de moyens de preuves (" fishing expedition ") ni, a fortiori , que le Ministère public serait " complice de machinations d'organisations criminelles ou d'autorités étrangères corrompues ". Cette conclusion s'impose indépendamment de l'avis de droit sur la situation actuelle de la pratique pénale en Russie, produit postérieurement au recours. Outre des considérations générales sur les oligarques russes, la pratique de la Cour européenne des droits de l'homme à l'égard de la Russie ou encore la position de force du ministère public dans le système judiciaire russe, ce document se fonde essentiellement sur la version des faits proposée par A______ lui-même, laquelle ne permet pas, à ce stade de la procédure, de nier l'existence de soupçons suffisants. Il s'ensuit que le Ministère public était fondé à prononcer le séquestre des avoirs en compte auprès de C______ SA dont les recourants étaient titulaires, ayants droit ou fondés de procuration.</w:t>
      </w:r>
    </w:p>
    <w:p>
      <w:r>
        <w:rPr>
          <w:b/>
        </w:rPr>
        <w:t>E. 5</w:t>
      </w:r>
    </w:p>
    <w:p>
      <w:r>
        <w:t>Justifiée, l'ordonnance querellée sera donc confirmée.</w:t>
      </w:r>
    </w:p>
    <w:p>
      <w:r>
        <w:rPr>
          <w:b/>
        </w:rPr>
        <w:t>E. 6</w:t>
      </w:r>
    </w:p>
    <w:p>
      <w:r>
        <w:t>Les recourants, qui succombent, supporteront, conjointement et solidairement,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