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P/6205/2021 vom 26. April 2021</w:t>
      </w:r>
    </w:p>
    <w:p>
      <w:r>
        <w:t>GE Cour de justice, 2021-04-26, FR</w:t>
      </w:r>
    </w:p>
    <w:p>
      <w:r>
        <w:rPr>
          <w:b/>
        </w:rPr>
        <w:t xml:space="preserve">Quelle: </w:t>
      </w:r>
      <w:r>
        <w:t>https://mcp.opencaselaw.ch/entscheid/ge_gerichte_P_6205_2021</w:t>
      </w:r>
    </w:p>
    <w:p>
      <w:r>
        <w:t>FR: GE_GERICHTE P/6205/2021 du 26 avril 2021</w:t>
      </w:r>
    </w:p>
    <w:p>
      <w:r>
        <w:t>IT: GE_GERICHTE P/6205/2021 del 26 aprile 2021</w:t>
      </w:r>
    </w:p>
    <w:p>
      <w:pPr>
        <w:pStyle w:val="Heading2"/>
      </w:pPr>
      <w:r>
        <w:t>Regeste</w:t>
      </w:r>
    </w:p>
    <w:p>
      <w:r>
        <w:t>SOUSTRACTION D'ÉNERGIE;SOUPÇON;ASSISTANCE JUDICIAIRE;DÉNUEMENT | CPP.310; CPP.136; CP.142</w:t>
      </w:r>
    </w:p>
    <w:p>
      <w:pPr>
        <w:pStyle w:val="Heading2"/>
      </w:pPr>
      <w:r>
        <w:t>Erwägungen</w:t>
      </w:r>
    </w:p>
    <w:p>
      <w:r>
        <w:rPr>
          <w:b/>
        </w:rPr>
        <w:t>E. 1</w:t>
      </w:r>
    </w:p>
    <w:p>
      <w:r>
        <w:t>La recourante a déposé deux recours, dirigés contre deux décisions distinctes. Ceux-ci émanant de la même personne et concernant la même procédure, il se justifie, par économie de procédure, de les joindre et de les traiter par un seul arrêt.</w:t>
      </w:r>
    </w:p>
    <w:p>
      <w:r>
        <w:rPr>
          <w:b/>
        </w:rPr>
        <w:t>E. 2.1</w:t>
      </w:r>
    </w:p>
    <w:p>
      <w:r>
        <w:t>Les recours sont recevables pour avoir été déposés selon la forme et – les formalités de notification (art. 85 al. 2 CPP) n'ayant pas été observées –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2.2</w:t>
      </w:r>
    </w:p>
    <w:p>
      <w:r>
        <w:t>Les pièces nouvelles produites par la plaignante devant la Chambre de céans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La recourante semble se plaindre de ne pas avoir été invitée par la police ou le Ministère public à déposer des preuves complémentaires, avant que l'ordonnance de non-entrée en matière soit rendue.</w:t>
      </w:r>
    </w:p>
    <w:p>
      <w:r>
        <w:rPr>
          <w:b/>
        </w:rPr>
        <w:t>E. 4.1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 Le droit des parties de participer à l'administration des preuves prévu à l'art. 147 CPP ne s'applique pas lors des investigations policières au sens de l'art. 306 CPP (arrêt du Tribunal fédéral 6B_873/2017 du 12 mars 2018 consid. 3 et les arrêts cités).</w:t>
      </w:r>
    </w:p>
    <w:p>
      <w:r>
        <w:rPr>
          <w:b/>
        </w:rPr>
        <w:t>E. 4.2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6B_539/2016 du 1er novembre 2017 consid. 2.2.1; 6B_940/2016 du 6 juillet 2017 consid. 3.2).</w:t>
      </w:r>
    </w:p>
    <w:p>
      <w:r>
        <w:rPr>
          <w:b/>
        </w:rPr>
        <w:t>E. 4.3</w:t>
      </w:r>
    </w:p>
    <w:p>
      <w:r>
        <w:t>En l'espèce, la procédure n'a pas dépassé la phase des premières investigations, ce qui permettait au Ministère public de rendre une ordonnance de non-entrée en matière et, partant, le dispensait d'interpeller la recourante préalablement. Pour le surplus, la recourante a pu faire valoir devant la Chambre de céans les arguments qu'elle estimait pertinents et présenter ses réquisitions de preuve. Son droit d'être entendue a ainsi été pleinement respecté.</w:t>
      </w:r>
    </w:p>
    <w:p>
      <w:r>
        <w:rPr>
          <w:b/>
        </w:rPr>
        <w:t>E. 5</w:t>
      </w:r>
    </w:p>
    <w:p>
      <w:r>
        <w:t>La recourante fait grief au Ministère public de ne pas être entré en matière sur sa plainte.</w:t>
      </w:r>
    </w:p>
    <w:p>
      <w:r>
        <w:rPr>
          <w:b/>
        </w:rPr>
        <w:t>E. 5.1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319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w:t>
      </w:r>
    </w:p>
    <w:p>
      <w:r>
        <w:rPr>
          <w:b/>
        </w:rPr>
        <w:t>E. 5.2</w:t>
      </w:r>
    </w:p>
    <w:p>
      <w:r>
        <w:t>L'art. 142 al. 1 CP punit, sur plainte, d'une peine privative de liberté de trois ans au plus ou une peine pécuniaire celui qui, sans droit, aura soustrait de l'énergie à une installation servant à exploiter une force naturelle, notamment à une installation électrique. Si l'auteur de l'acte avait le dessein de se procurer ou de procurer à un tiers un enrichissement illégitime, la peine sera une peine privative de liberté de cinq ans au plus ou une peine pécuniaire. Cette disposition protège le patrimoine, et plus particulièrement le pouvoir de disposition de l'ayant droit. Elle vise toute forme d'énergie tirée de l'exploitation des forces naturelles, telles que l'énergie thermique, éolienne, hydraulique, nucléaire. Concrètement, la notion d'énergie se rapporte avant tout au courant produit par une installation électrique, voire à de la chaleur. Le comportement typique consiste à soustraire sans droit l'énergie, soit à détourner sans droit l'énergie de l'installation dont elle est issue. On songera par exemple à l'hypothèse où l'auteur se ménage un accès à une installation électrique sans y être autorisé par le fournisseur, ou à l'hypothèse où l'auteur use de l'installation sans respecter les conditions d'utilisation, notamment en faussant les appareils de mesure destinés à établir un décompte de consommation (M. DUPUIS/ L. MOREILLON/ C. PIGUET/ S. BERGER/ M. MAZOU/ V. RODIGARI (éds), Code pénal - Petit commentaire , 2e éd., Bâle 2017, n. 2, 6, 7 ad art. 142 CP). L'art. 142 CP est une infraction intentionnelle. L'intention doit porter en particulier sur le caractère illicite de la soustraction (M. DUPUIS/ L. MOREILLON/ C. PIGUET/ S. BERGER/ M. MAZOU/ V. RODIGARI (éds), op. cit ., n. 8 ad art. 142 CP). À noter que dans la mesure où le but d'une telle infraction est ordinairement d'obtenir de l'énergie sans en payer le prix, l'hypothèse du cas aggravé (al. 2) est presque toujours réalisée. Dans ce cas, l'infraction est poursuivie d'office ( ACPR/535/2016 du 29 août 2016 ; B. CORBOZ, Les infractions en droit suisse , vol. I, 3e éd., Berne 2010, n. 8 ad art. 142 CP).</w:t>
      </w:r>
    </w:p>
    <w:p>
      <w:r>
        <w:rPr>
          <w:b/>
        </w:rPr>
        <w:t>E. 5.3</w:t>
      </w:r>
    </w:p>
    <w:p>
      <w:r>
        <w:t>ci-dessus. La demande d'assistance judiciaire gratuite doit dès lors être rejetée.</w:t>
      </w:r>
    </w:p>
    <w:p>
      <w:r>
        <w:rPr>
          <w:b/>
        </w:rPr>
        <w:t>E. 6</w:t>
      </w:r>
    </w:p>
    <w:p>
      <w:r>
        <w:t>La recourante reproche au Ministère public de lui avoir dénié l'assistance juridique.</w:t>
      </w:r>
    </w:p>
    <w:p>
      <w:r>
        <w:rPr>
          <w:b/>
        </w:rPr>
        <w:t>E. 6.1</w:t>
      </w:r>
    </w:p>
    <w:p>
      <w:r>
        <w:t>À teneur de l'art. 29 al. 3 Cst., toute personne qui ne dispose pas de ressources suffisantes a droit, à moins que sa cause paraisse dépourvue de toute chance de succès, à l'assistance gratuite d'un défenseur, dans la mesure où la sauvegarde de ses droits le requiert. L'art. 136 CPP reprend ces conditions et les concrétise à l'égard de la partie plaignante dans un procès pénal (arrêt du Tribunal fédéral 1B_23/2020 du 17 mars 2020 consid. 2.1). Selon l'al. 1 de cette disposition,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l'assistance judiciaire comprend l'exonération d'avances de frais et de sûretés (let. a), l'exonération des frais de procédure (let. b) et la désignation d'un conseil juridique gratuit, lorsque la défense des intérêts de la partie plaignante l'exige (let. c).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w:t>
      </w:r>
    </w:p>
    <w:p>
      <w:r>
        <w:rPr>
          <w:b/>
        </w:rPr>
        <w:t>E. 6.2</w:t>
      </w:r>
    </w:p>
    <w:p>
      <w:r>
        <w:t>En l'espèce, s'il est vraisemblable que la recourante remplit la condition de l'indigence, force est toutefois de constater que ses prétentions civiles sont d'emblée vouées à l'échec, pour les raisons exposées au considérant</w:t>
      </w:r>
    </w:p>
    <w:p>
      <w:r>
        <w:rPr>
          <w:b/>
        </w:rPr>
        <w:t>E. 7</w:t>
      </w:r>
    </w:p>
    <w:p>
      <w:r>
        <w:t>Justifiée, les ordonnances querellées seront donc confirmées.</w:t>
      </w:r>
    </w:p>
    <w:p>
      <w:r>
        <w:rPr>
          <w:b/>
        </w:rPr>
        <w:t>E. 8</w:t>
      </w:r>
    </w:p>
    <w:p>
      <w:r>
        <w:t>La recourante succombe intégralement (art. 428 al.1, 1 ère et 2 ème phrases, CPP). Elle supportera les frais de la procédure afférents au premier recours, fixés en totalité à CHF 800.-, émolument de décision inclus (art. 3 cum art. 13 al. 1 du Règlement fixant le tarif des frais en matière pénale, RTFMP ; E 4 10.03). Le second recours lié au refus de l'assistance judiciaire sera, quant à lui, rendu sans frais (art. 20 RAJ; arrêt du Tribunal fédéral 6B_215/2018 du 14 juin 2018 consid.1.2).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