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P/6155/2020 vom 14. Mai 2020</w:t>
      </w:r>
    </w:p>
    <w:p>
      <w:r>
        <w:t>GE Cour de justice, 2020-05-14, FR</w:t>
      </w:r>
    </w:p>
    <w:p>
      <w:r>
        <w:rPr>
          <w:b/>
        </w:rPr>
        <w:t xml:space="preserve">Quelle: </w:t>
      </w:r>
      <w:r>
        <w:t>https://mcp.opencaselaw.ch/entscheid/ge_gerichte_P_6155_2020</w:t>
      </w:r>
    </w:p>
    <w:p>
      <w:r>
        <w:t>FR: GE_GERICHTE P/6155/2020 du 14 mai 2020</w:t>
      </w:r>
    </w:p>
    <w:p>
      <w:r>
        <w:t>IT: GE_GERICHTE P/6155/2020 del 14 maggio 2020</w:t>
      </w:r>
    </w:p>
    <w:p>
      <w:pPr>
        <w:pStyle w:val="Heading2"/>
      </w:pPr>
      <w:r>
        <w:t>Regeste</w:t>
      </w:r>
    </w:p>
    <w:p>
      <w:r>
        <w:t>INJURE;DIFFAMATION;PREUVE;DÉLAI;PLAINTE PÉNALE | CP.31; CP.177; CP.173</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de cet acte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L'autorité de recours possède un plein pouvoir d'examen en fait et en droit et n'est pas liée par les motifs invoqués par les parties (art. 391 al. 1 let. a CPP) ou la motivation de l'autorité précédente dont elle a à connaître des décisions, le seul principe applicable en la matière étant celui de la vérité matérielle objective et de la légalité (art. 7 CPP) ainsi que la maxime d'instruction et l'adage " jura novit curia " (art. 6 CPP ; L. MOREILLON / A. PAREIN-REYMOND, CPP, Code de procédure pénale , Bâle 2016, ns 1-2 ad art. 391 ; ACPR/831/2017 du 6 décembre 2017).</w:t>
      </w:r>
    </w:p>
    <w:p>
      <w:r>
        <w:rPr>
          <w:b/>
        </w:rPr>
        <w:t>E. 4</w:t>
      </w:r>
    </w:p>
    <w:p>
      <w:r>
        <w:t>Le recourant invoque une violation de son droit d'être entendu faute pour le Ministère public de l'avoir sollicité pour présenter les documents qu'il a soumis à l'occasion de son recours. Contrairement à ce que soutient le recourant, le Procureur l'a bien interpellé, avant de rendre sa décision, sur l'empêchement de procéder lié à la possible tardiveté de la plainte. Le grief est rejeté.</w:t>
      </w:r>
    </w:p>
    <w:p>
      <w:r>
        <w:rPr>
          <w:b/>
        </w:rPr>
        <w:t>E. 5</w:t>
      </w:r>
    </w:p>
    <w:p>
      <w:r>
        <w:t>Le recourant reproche au Ministère public de ne pas être entré en matière sur sa plainte du 6 avril 2020.</w:t>
      </w:r>
    </w:p>
    <w:p>
      <w:r>
        <w:rPr>
          <w:b/>
        </w:rPr>
        <w:t>E. 5.1</w:t>
      </w:r>
    </w:p>
    <w:p>
      <w:r>
        <w:t>À teneur de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w:t>
      </w:r>
    </w:p>
    <w:p>
      <w:r>
        <w:rPr>
          <w:b/>
        </w:rPr>
        <w:t>E. 5.2</w:t>
      </w:r>
    </w:p>
    <w:p>
      <w:r>
        <w:t>Une ordonnance de non-entrée en matière doit également être rendue lorsqu'il existe des empêchements de procéder (art. 310 al. 1 let. b CPP), par exemple lorsque l'action publique est prescrite (L. MOREILLON / A. PAREIN-REYMOND, op.cit , n. 13 ad art. 310) ou que le délai pour déposer plainte prévu par l'art. 31 CP ( cf . infra ch. 3.7) n'a pas été respecté (arrêt du Tribunal fédéral 6B_848/2018 du 4 décembre 2018 consid. 1.5).</w:t>
      </w:r>
    </w:p>
    <w:p>
      <w:r>
        <w:rPr>
          <w:b/>
        </w:rPr>
        <w:t>E. 5.3</w:t>
      </w:r>
    </w:p>
    <w:p>
      <w:r>
        <w:t>Les infractions d'injure (art. 177 CP) et de diffamation (art. 173 CP) sont poursuivies sur plainte.</w:t>
      </w:r>
    </w:p>
    <w:p>
      <w:r>
        <w:rPr>
          <w:b/>
        </w:rPr>
        <w:t>E. 5.4</w:t>
      </w:r>
    </w:p>
    <w:p>
      <w:r>
        <w:t>Conformément à l'art. 31 CP, le droit de porter plainte se prescrit par trois mois. Le délai court du jour où l'ayant droit a connu l'auteur de l'infraction et - l'art. 31 CP ne le précise pas, mais cela va de soi - de l'acte délictueux, c'est-à-dire des éléments constitutifs objectifs, mais également subjectifs de l'infraction (arrêts du Tribunal fédéral 6B_451/2009 du 23 octobre 2009 consid. 1.2 et 6B_396/2008 du 25 août 2008 consid. 3.3.3). Cette connaissance doit être suffisante pour que l'ayant droit puisse considérer que des poursuites auraient de fortes chances de succès et ne l'exposeraient pas au risque d'être lui-même poursuivi pour dénonciation calomnieuse ou diffamation (ATF 126 IV 131 consid. 2; 121 IV 272 consid. 2a); de simples soupçons ne suffisent pas, mais il n'est pas nécessaire que l'ayant droit dispose déjà de moyens de preuve (ATF 121 IV 272 consid. 2a; ATF 101 IV 113 consid. 1b et les arrêts cités; arrêt du Tribunal fédéral 6S.33/2007 du 20 avril 2007 consid. 5). Dans les cas où le respect du délai de plainte par le plaignant est litigieux, il lui appartient d'en apporter la preuve (ATF 97 I 769 ; R. ROTH / L. MOREILLON (éds), Commentaire romand, Code pénal I, art. 1-110 CP, Bâle 2009, n. 22 ad art. 31). À cet égard, le délai ne commence pas à courir dès que le plaignant aurait pu ou dû prendre connaissance des éléments constitutifs de l'infraction, mais seulement à la connaissance concrète de ces éléments (ATF 97 I 769 consid. 3 p. 774). Dans le doute, le délai est réputé observé lorsqu'il n'existe aucun indice sérieux que les éléments pertinents étaient connus du plaignant plus tôt. Le Tribunal fédéral a souligné que la personne lésée est le plus souvent en mesure d'exposer à quelle occasion elle a eu connaissance de l'infraction et de son auteur, et d'offrir des preuves sur ce point. En revanche, elle échouerait presque toujours à démontrer qu'elle n'en avait pas connaissance avant ce moment, la preuve d'un fait négatif étant pratiquement impossible (arrêt du Tribunal fédéral 6B_867/2009 du 3 décembre 2009 consid. 2.5).</w:t>
      </w:r>
    </w:p>
    <w:p>
      <w:r>
        <w:rPr>
          <w:b/>
        </w:rPr>
        <w:t>E. 5.5</w:t>
      </w:r>
    </w:p>
    <w:p>
      <w:r>
        <w:t>En l'espèce, le recourant soutient n'avoir eu connaissance du courrier portant atteinte, selon lui, à son honneur, que le 27 février 2020, lorsque D______ le lui avait envoyé par E______. Force est de constater qu'il s'abstient de produire quelque document que ce soit attestant de l'envoi à cette date, alors même que l'on peut constater sur la pièce produite la mention " Télécharger Outlook pour Android " confirmant qu'il l'a reçue sur sa boîte email et qu'il aurait pu produire la preuve de la date de l'envoi. En outre, il ne paraît pas vraisemblable que D______ n'ait pas informé le recourant de son contenu, à réception du courrier litigieux, voire lorsque tous deux ont reçu la décision du 8 octobre 2019 du Tribunal des baux et loyer lui déniant la qualité de mandataire professionnellement qualifié. Au vu de ces éléments, le recourant ne prouve pas avoir eu connaissance, le 27 février 2020 seulement, des actes potentiellement délictueux commis par Me C______, charge de la preuve lui incombant. Justifiée, l'ordonnance querellée sera confirmée.</w:t>
      </w:r>
    </w:p>
    <w:p>
      <w:r>
        <w:rPr>
          <w:b/>
        </w:rPr>
        <w:t>E. 6</w:t>
      </w:r>
    </w:p>
    <w:p>
      <w:r>
        <w:t>Le recourant sollicite l'assistance judiciaire.</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 demande d'assistance judiciaire gratuite doit être rejetée lorsqu'il apparaît d'emblée que la démarche est manifestement irrecevable, que la position du requérant est juridiquement infondée ou si la procédure pénale est vouée à l'échec, notamment lorsqu'une ordonnance de non-entrée en matière ou de classement doit être rendue (arrêt du Tribunal fédéral 1B_254/2013 du 27 septembre 2013 consid. 2.1.1). Ces principes s'appliquent aussi lorsque l'assistance judiciaire est sollicitée en réponse à une demande de sûretés, au sens de l'art. 383 al. 1 CPP ( ACPR/339/2014 du 16 juillet 2014 ; M. NIGGLI / M. HEER / H. WIPRÄCHTIGER, Schweizerische Strafprozessordnung/ Schweizerische Jugendstrafprozessordnung, Basler Kommentar StPO/JStPO , Bâle 2011, n. 2 ad art. 383).</w:t>
      </w:r>
    </w:p>
    <w:p>
      <w:r>
        <w:rPr>
          <w:b/>
        </w:rPr>
        <w:t>E. 6.2</w:t>
      </w:r>
    </w:p>
    <w:p>
      <w:r>
        <w:t>En l'occurrence, le recours était manifestement voué à l'échec, de sorte que la demande d'assistance judiciaire sera rejetée.</w:t>
      </w:r>
    </w:p>
    <w:p>
      <w:r>
        <w:rPr>
          <w:b/>
        </w:rPr>
        <w:t>E. 7</w:t>
      </w:r>
    </w:p>
    <w:p>
      <w:r>
        <w:t>Le recourant, qui succombe, supportera les frais envers l'État, fixés en totalité à CHF 500.- (art. 428 al. 1 CPP et 13 al. 1 du Règlement fixant le tarif des frais en matière pénale, RTFMP ; E 4 10.03), pour tenir compte de sa situation financière précaire, étant relevé qu'il n'y a pas lieu à émolument pour le rejet de la demande d'assistance judiciaire. Ces frais ne sont toutefois pas prélevés pour le rejet de l'assistance judiciaire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