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P/6154/2019 vom 14. Mai 2020</w:t>
      </w:r>
    </w:p>
    <w:p>
      <w:r>
        <w:t>GE Cour de justice, 2020-05-14, FR</w:t>
      </w:r>
    </w:p>
    <w:p>
      <w:r>
        <w:rPr>
          <w:b/>
        </w:rPr>
        <w:t xml:space="preserve">Quelle: </w:t>
      </w:r>
      <w:r>
        <w:t>https://mcp.opencaselaw.ch/entscheid/ge_gerichte_P_6154_2019</w:t>
      </w:r>
    </w:p>
    <w:p>
      <w:r>
        <w:t>FR: GE_GERICHTE P/6154/2019 du 14 mai 2020</w:t>
      </w:r>
    </w:p>
    <w:p>
      <w:r>
        <w:t>IT: GE_GERICHTE P/6154/2019 del 14 maggio 2020</w:t>
      </w:r>
    </w:p>
    <w:p>
      <w:pPr>
        <w:pStyle w:val="Heading2"/>
      </w:pPr>
      <w:r>
        <w:t>Regeste</w:t>
      </w:r>
    </w:p>
    <w:p>
      <w:r>
        <w:t>CP.135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 3.1.3.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rPr>
          <w:b/>
        </w:rPr>
        <w:t>E. 2</w:t>
      </w:r>
    </w:p>
    <w:p>
      <w:r>
        <w:t>2.1.1.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 ans au plus ou d'une peine pécuniaire (art. 135 al. 1 CP).</w:t>
      </w:r>
    </w:p>
    <w:p>
      <w:r>
        <w:rPr>
          <w:b/>
        </w:rPr>
        <w:t>E. 2.2</w:t>
      </w:r>
    </w:p>
    <w:p>
      <w:r>
        <w:t>En l'espèce, il n'est pas contesté que la diffusion de la vidéo incriminée réalise les éléments objectifs constitutifs de l'art. 135 CP. L'élément subjectif est également réalisé, dans la mesure où l'appelante a expliqué avoir intentionnellement partagé ladite vidéo sur B_____ [réseau social], tout en sachant que celle-ci contenait des images violentes impliquant des enfants. L'appelante se prévaut cependant de ce qu'elle ignorait qu'un tel comportement fût répréhensible et explique avoir agi de la sorte uniquement pour dénoncer et confondre les auteurs de ces images. Si l'on peut douter que l'appelante disposât de connaissances particulières en matière d'informatique, ni a fortiori , en matière de criminalité informatique, force est de constater que celle-ci savait utiliser le réseau social en question, dès lors qu'elle visionnait régulièrement des films qui apparaissaient sur son fil d'actualité, qu'elle partageait ensuite parfois sur son profil, afin de dénoncer certains comportements. L'appelante disposait donc de connaissances suffisantes pour savoir qu'en cliquant sur " partager ", elle mettait les contenus en question à disposition d'un nombre indéterminé de personnes, ce qu'elle a d'ailleurs admis. Or en présence d'images aussi choquantes, montrant des actes de torture envers des enfants, l'appelante ne saurait se prévaloir d'avoir eu des raisons d'ignorer que son comportement était contraire au droit. En effet, la diffusion d'un tel film, qui plus est sans même spécifier, fût-ce dans sa langue maternelle, que son contenu était choquant et que la situation vécue par les enfants filmés était hautement condamnable, va à l'encontre des conceptions éthiques et morales du plus grand nombre. Partant, même en l'absence de toute formation juridique, l'appelante aurait pu, en faisant appel à son bon sens, se douter qu'un tel comportement était réprimé par la loi et, en cas de doute, s'abstenir de propager cette vidéo. L'appelante ne peut davantage valablement soutenir avoir agi pour en définitive, depuis la Suisse, confondre les auteurs de la vidéo incriminée. Rien en effet dans les images en question ne permet d'établir l'identité de l'adulte qui s'en prend aux enfants, dès lors qu'on ne voit pas son visage, et que la pièce où est tournée la séquence est dépourvue de tout signe distinctif permettant sa localisation. Seule l'origine des enfants permet de supposer qu'il s'agit d'images tournées en Asie du sud-est, soit un lointain et vaste territoire. L'appelante ne peut par conséquent légitimement prétendre avoir eu des raisons suffisantes de penser qu'elle était en droit d'agir de la sorte. Partant, sa condamnation du chef d'infraction à l'art. 135 CP sera confirmée et son appel rejeté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La faute de la prévenue n'est pas dénuée de gravité. En transmettant la vidéo, elle a permis sa propagation à un nombre indéterminé de personne. Les conséquences de son acte ne peuvent ainsi être considérées comme de peu d'importance, au contraire. Certes la prévenue a plutôt bien collaboré à la procédure eta pris conscience de l'illicéité de ses actes, se montrant triste en réalisant qu'elle pouvait avoir causé du tort par ses agissements. Il n'en demeure pas moins que ce comportement appelle sanction. Celle prononcée par le premier juge, non contestée en tant que telle, est adéquate et sera confirmée.</w:t>
      </w:r>
    </w:p>
    <w:p>
      <w:r>
        <w:rPr>
          <w:b/>
        </w:rPr>
        <w:t>E. 4</w:t>
      </w:r>
    </w:p>
    <w:p>
      <w:r>
        <w:t>4.1.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de la Constitution fédérale de la Confédération suisse du 18 avril 1999 (Cst. - RS 101)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(subsidiartié) (ATF 137 IV 249 consid. 4.5 p. 256 ; arrêt du Tribunal fédéral 6B_35/2017 du 26 février 2018 consid. 9.1). Ces principes s'appliquent, en particulier, aussi aux supports de données numériques (cf. arrêts du Tribunal fédéral 6B_35/2017 du 26 février 2018 consid. 9.1 ; 6B_279/2011 du 20 juin 2011 consid. 4.1 ; 6B_748/2008 du 16 février 2009 consid. 4.5.3 et 4.5.4).</w:t>
      </w:r>
    </w:p>
    <w:p>
      <w:r>
        <w:rPr>
          <w:b/>
        </w:rPr>
        <w:t>E. 4.2</w:t>
      </w:r>
    </w:p>
    <w:p>
      <w:r>
        <w:t>Certes la prévenue a fait usage du téléphone portable saisi pour transférer la vidéo incriminée. Il est en revanche peu vraisemblable qu'elle l'utilise à l'avenir pour commettre une infraction de sorte qu'il lui sera restitué après effacement de cette vidéo pour le cas où elle s'y trouverait encore.</w:t>
      </w:r>
    </w:p>
    <w:p>
      <w:r>
        <w:rPr>
          <w:b/>
        </w:rPr>
        <w:t>E. 5.1</w:t>
      </w:r>
    </w:p>
    <w:p>
      <w:r>
        <w:t>L'appelante, qui succombe pour l'essentiel, supportera les frais de la procédure d'appel envers l'État, comprenant un émolument de CHF 1'000.- (art. 428 CPP).</w:t>
      </w:r>
    </w:p>
    <w:p>
      <w:r>
        <w:rPr>
          <w:b/>
        </w:rPr>
        <w:t>E. 5.2</w:t>
      </w:r>
    </w:p>
    <w:p>
      <w:r>
        <w:t>Dans la mesure où sa culpabilité est confirmée, il n'y a pas lieu de modifier la répartition des frais de première instance (art. 428 al. 3 et 426 al. 1 CPP).</w:t>
      </w:r>
    </w:p>
    <w:p>
      <w:r>
        <w:rPr>
          <w:b/>
        </w:rPr>
        <w:t>E. 6</w:t>
      </w:r>
    </w:p>
    <w:p>
      <w:r>
        <w:t>L'appelante a renoncé à toute indemnisation fondée sur les art. 429 et 436 CPP. Vu l'issue de la procédure, elle n'aurait en tout état pas pu y prétendre.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