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P/6151/2019 vom 30. April 2019</w:t>
      </w:r>
    </w:p>
    <w:p>
      <w:r>
        <w:t>GE Cour de justice, 2019-04-30, FR</w:t>
      </w:r>
    </w:p>
    <w:p>
      <w:r>
        <w:rPr>
          <w:b/>
        </w:rPr>
        <w:t xml:space="preserve">Quelle: </w:t>
      </w:r>
      <w:r>
        <w:t>https://mcp.opencaselaw.ch/entscheid/ge_gerichte_P_6151_2019</w:t>
      </w:r>
    </w:p>
    <w:p>
      <w:r>
        <w:t>FR: GE_GERICHTE P/6151/2019 du 30 avril 2019</w:t>
      </w:r>
    </w:p>
    <w:p>
      <w:r>
        <w:t>IT: GE_GERICHTE P/6151/2019 del 30 aprile 2019</w:t>
      </w:r>
    </w:p>
    <w:p>
      <w:pPr>
        <w:pStyle w:val="Heading2"/>
      </w:pPr>
      <w:r>
        <w:t>Regeste</w:t>
      </w:r>
    </w:p>
    <w:p>
      <w:r>
        <w:t>RISQUE DE RÉCIDIVE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admettant les charges portées contre lui, il n'y sera pas revenu.</w:t>
      </w:r>
    </w:p>
    <w:p>
      <w:r>
        <w:rPr>
          <w:b/>
        </w:rPr>
        <w:t>E. 3</w:t>
      </w:r>
    </w:p>
    <w:p>
      <w:r>
        <w:t>Le recourant conteste tout risque de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du Tribunal fédéral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3.2</w:t>
      </w:r>
    </w:p>
    <w:p>
      <w:r>
        <w:t>En l'espèce, le risque de réitération est concret. Le recourant admet s'être livré, sur une longue période, à des actes de violence, dont ont eu à pâtir les deux compagnes avec lesquelles il a eu des enfants. Son casier judiciaire ajoute à la crainte d'une propension à la violence contre les personnes, en raison d'une infraction à la LArm et d'une autre à la LStup qui n'ont apparemment pas suffi à l'éloigner de la cocaïne ni des armes. Il est suffisamment vraisemblable, en l'état, que le recourant présenterait depuis quelques années des troubles d'impulsivité et d'addictions; par ailleurs, il ne conteste pas avoir manqué d'assiduité à suivre l'aide qui lui était imposée auprès d'une association spécialisée dans la prise en charge d'auteurs d'agressions, notamment intra-familiales. Le risque à faire courir aux victimes potentielles apparaît donc trop important, au vu de ces premiers renseignements sur l'état psychique du recourant, son imprévisibilité et son agressivité (ATF 140 IV 19 consid. 2.1.1 p. 21 s.). Pour le surplus, il est renvoyé aux développements convaincants du premier juge sur ces divers aspects. Au regard de la gravité objective des actes examinés, il paraît, par conséquent, judicieux - comme le recourant le demandait, du reste, dès le 2 mai 2019 - d'attendre l'avis d'un expert psychiatre sur ces questions, ainsi que sur les mesures qui pourraient permettre de diminuer le risque de récidive - ce qu'autorise la jurisprudence en pareil cas (arrêt du Tribunal fédéral 1B_94/2014 du 21 mars 2014 consid. 3.2 = SJ 2014 I 408 et les nombreux arrêts cités; arrêt 1B_210/2018 du 17 mai 2018 consid. 2.3) -. Que ce premier éclairage ne soit pas disponible alors que le mandat d'expertise vient d'être décerné n'est pas surprenant. Les mesures de substitution que le recourant suggère n'apparaissent, dès lors, que comme des possibilités, qui ne pourront être concrétisées qu'après une objectivation médicale, combinée à des garanties plus solides qu'une simple abstinence subie de facto ou des déclarations de bonnes intentions envers la partie plaignante.</w:t>
      </w:r>
    </w:p>
    <w:p>
      <w:r>
        <w:rPr>
          <w:b/>
        </w:rPr>
        <w:t>E. 4</w:t>
      </w:r>
    </w:p>
    <w:p>
      <w:r>
        <w:t>Le risque de réitération suffisant à faire échec au recours, il n'est pas nécessaire d'examiner ce qu'il en serait du risque de collusion.</w:t>
      </w:r>
    </w:p>
    <w:p>
      <w:r>
        <w:rPr>
          <w:b/>
        </w:rPr>
        <w:t>E. 5</w:t>
      </w:r>
    </w:p>
    <w:p>
      <w:r>
        <w:t>Pour le surplus, le recourant ne se plaint pas, à juste titre, que son maintien en détention violerait le principe de la proportionnalité. S'il devait être reconnu coupable de toutes les préventions retenues contre lui, la peine susceptible d'entrer concrètement en considération ne paraît pas devoir être inférieure à la durée de sa privation actuelle de liberté (art. 212 al. 3 CPP).</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