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P/6146/2022 vom 25. Januar 2024</w:t>
      </w:r>
    </w:p>
    <w:p>
      <w:r>
        <w:t>GE Cour de justice, 2024-01-25, FR</w:t>
      </w:r>
    </w:p>
    <w:p>
      <w:r>
        <w:rPr>
          <w:b/>
        </w:rPr>
        <w:t xml:space="preserve">Quelle: </w:t>
      </w:r>
      <w:r>
        <w:t>https://mcp.opencaselaw.ch/entscheid/ge_gerichte_P_6146_2022</w:t>
      </w:r>
    </w:p>
    <w:p>
      <w:r>
        <w:t>FR: GE_GERICHTE P/6146/2022 du 25 janvier 2024</w:t>
      </w:r>
    </w:p>
    <w:p>
      <w:r>
        <w:t>IT: GE_GERICHTE P/6146/2022 del 25 gennaio 2024</w:t>
      </w:r>
    </w:p>
    <w:p>
      <w:pPr>
        <w:pStyle w:val="Heading2"/>
      </w:pPr>
      <w:r>
        <w:t>Regeste</w:t>
      </w:r>
    </w:p>
    <w:p>
      <w:r>
        <w:t>DOMMAGES À LA PROPRIÉTÉ(DROIT PÉNAL);VIOLENCE CONTRE LES AUTORITÉS | CPP.399.al1; CPP.399.al3; CPP.94.al2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est passible des peines de droit (art. 285 ch. 1 aCP). 2.1.2. L'art. 285 aCP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qu'il soit rendu plus difficile ou différé (ATF 133 IV 97 consid. 4.2 et consid 5.2 ad art. 286 CP ; 120 IV 136 consid. 2a ; arrêts du Tribunal fédéral 6B_1009/2014 du 2 avril 2015 consid. 5.1.1 et 6B_659/2013 du 4 novembre 2013 consid. 1.1). La loi exige la menace d'un dommage sérieux, c'est-à-dire que la perspective de l'inconvénient présenté comme dépendant de la volonté de l'auteur soit propre à entraver le destinataire dans sa liberté de décision ou d'action (ATF 120 IV 17 consid. 2a/aa ; arrêt du Tribunal fédéral 6B_386/2022 du 20 décembre 2022 consid. 3.1). 2.1.3. L'infraction exige la réalisation d'un résultat, soit l'empêchement d'accomplir un acte officiel, et qu'il soit en lien de causalité avec le comportement violent ou menaçant de l'auteur (A. MACALUSO / L. MOREILLON / N. QUELOZ (éds), Commentaire romand, Code pénal II, vol. II, Partie spéciale : art. 111-392 CP, Bâle 2017 n. 26 ad art. 285 ; M. NIGGLI / H. WIPRÄCHTIGER, Basler Kommentar Strafrecht II : Art. 137-392 StGB, Jugendstrafgesetz, 4ème éd., Bâle 2019 n. 5 ad art. 285). 2.1.4. L'infraction à l'art. 285 CP est intentionnelle, le dol éventuel suffit (A. MACALUSO / L. MOREILLON / N. QUELOZ (éds), Commentaire romand, Code pénal II, vol. II, Partie spéciale : art. 111-392 CP, Bâle 2017 n. 48 ad art. 285). 2.2.1. Se rend coupable de dommages à la propriété au sens de l'art. 144 al. 1 CP, celui qui aura endommagé, détruit ou mis hors d'usage une chose appartenant à autrui ou frappée d'un droit d'usage ou d'usufruit au bénéfice d'autrui. Le juge peut aggraver la peine si l'auteur a causé un dommage considérable (art. 144 al. 3 CP). 2.2.2. Selon la jurisprudence du Tribunal fédéral, un préjudice de CHF 82'000.- ou CHF 40'000.- constitue un dommage considérable (ATF 117 IV 437 consid. 2.a et ATF 106 IV 24 ). Dans un arrêt plus récent, en référence à la doctrine majoritaire, notre Haute Cour a tranché qu'un préjudice de plus de CHF 10'000.- était considérable, laissant ouverte la question de savoir s'il fallait prendre en considération la situation personnelle du lésé (ATF 136 IV 117 consid. 4.3.1). Une partie de la doctrine estime qu'il faut s'en tenir à un montant objectif, tandis qu'une autre opinion est d'avis qu'il faut considérer la situation personnelle du lésé pour autant que le montant du préjudice ne dépasse pas CHF 10'000.-, un dommage objectif dépassant ce seuil devant toujours être reconnu comme considérable (A. MACALUSO / L. MOREILLON / N. QUELOZ (éds), Commentaire romand, Code pénal II, vol. II, Partie spéciale : art. 111-392 CP, Bâle 2017 n. 16 ad art. 144 ; M. NIGGLI / H. WIPRÄCHTIGER, Basler Kommentar Strafrecht II : Art. 137-392 StGB, Jugendstrafgesetz, 4 ème éd., Bâle 2019 n. 102 ad art. 144) 2.2.3. L'infraction est intentionnelle, le dol éventuel étant suffisant (ATF 116 IV 145 consid. 2b). 2.3.1. Il est établi, dans la mesure où l'appelant ne le conteste pas, qu'il a adressé, notamment à sa curatrice, les courriels litigieux, comme décrit supra (cf. A.b.b.). 2.3.2. Quoi qu'il en dise, ses écrits, y compris les citations provenant de l'ouvrage sur la guerre, étaient constitutifs d'une menace d'un dommage sérieux, dans la mesure où il a explicitement averti ses interlocuteurs de risques pour leur intégrité physique et/ou leur vie s'ils ne s'exécutaient pas comme il le requérait. On ne saurait le suivre lorsqu'il affirme avoir voulu manifester son intention d'ouvrir une action judiciaire, dès lors qu'il n'y a aucune allusion à un éventuel procès, ce qu'il a lui-même concédé, de même le fait que ses messages pouvaient générer l'effroi. À cela s'ajoute le fait que les courriels ont été envoyés dans le contexte des dommages à la propriété commis, ce dont on ne saurait faire abstraction, ce qui ajoute aux mots une dimension concrète et d'autant plus effrayante. Achève de convaincre le fait que la curatrice a perçu les propos de son protégé comme menaçants et a eu peur pour sa personne au point d'hésiter à quitter les locaux de son employeur durant sa pause déjeuner. 2.3.3. La défense plaide encore que les fonctionnaires n'ont pas été entravés dans la réalisation de leurs tâches et que le résultat escompté, soit l'obtention d'une somme d'argent, n'a pas abouti, de sorte que l'infraction n'est pas réalisée. Dans la mesure où la première variante de l'art. 285 CP, soit celle qui sera retenue à l'encontre de l'appelant, n'exige comme résultat que l'entrave d'un fonctionnaire dans la réalisation de ses tâches, il est sans importance que celui-ci n'ait pas obtenu l'argent exigé. Outre le fait que les courriels étaient objectivement de nature à entraver les fonctionnaires dans la réalisation de leurs tâches au vu de la violence des propos, il ressort des déclarations de la curatrice, de même que de celles du directeur et de la lettre du chef de service, que les employés visés par les injures et les menaces ont été perturbés au point de ne plus oser sortir ou de vouloir rentrer chez eux. On ne peut qu'en conclure, vu leur bouleversement, que leur activité au service de l'État a été entravée, ne serait-ce que par le fait qu'elle a été différée ou rendue moins aisée. 2.3.4. Contrairement à ce que plaide la défense, l'expertise, dont aucune raison ne justifie de s'écarter, retient que l'appelant était en mesure d'apprécier le caractère illicite de son comportement, ce qui permet d'établir qu'il a, à tout le moins, envisagé et accepté d'entraver les collaborateurs dans la réalisation de leurs tâches. Il sera tenu compte de son degré de responsabilité dans la fixation de la peine. 2.3.5. Au vu de ce qui précède, les faits décrits sous point 1.1.2.2. de l'acte d'accusation sont établis et constitutifs de l'infraction de l'art. 285 ch. 1 aCP. L'appel doit être rejeté sur ce point. 2.4.1. Il est établi, dans la mesure où l'appelant ne le nie pas, qu'il s'est présenté en date du 16 mars 2022 par deux fois devant les locaux du service intimé et a brisé plusieurs vitres du bâtiment en lançant des cailloux dessus. Il est également établi que le dommage résultant de son comportement se chiffre à CHF 36'372.97, le plaignant ayant produit six factures pour démontrer son préjudice, et l'appelant ne le contestant pas. 2.4.2. L'appelant argue toutefois qu'il n'a eu d'autre choix que d'agir comme il l'a fait pour attirer l'attention du service sur sa situation de détresse. 2.4.3. Quoi qu'il en dise, faute de danger imminent, il ne peut se prévaloir d'aucun motif justificatif, en particulier pas de l'état de nécessité (art. 17 CP). Cela d'autant moins qu'il prétend avoir voulu avertir par les courriels litigieux de ce qu'il allait porter le différend devant un juge, concédant à demi-mot qu'il y avait d'autres options que de s'en prendre au patrimoine de l'État pour s'exprimer. 2.4.4. Les considérations sur l'élément subjectif développées supra (cf. consid. 2.3.3) valent mutatis mutandis pour les dommages à la propriété, de même que le fait que sa limitation de responsabilité sera examinée dans le cadre de la fixation de la peine. 2.4.5. Contrairement à ce que plaide la défense, l'infraction est réalisée dans sa forme aggravée dans la mesure où le seuil fixé par la jurisprudence fédérale de CHF 10'000.- est très largement dépassé, étant précisé que, pour la même raison, il ne se justifie pas d'examiner à ce stade la situation personnelle du plaignant. 2.4.6. Au vu de ce qui précède, les faits décrits sous points 1.1.1.1. et 1.1.1.2. de l'acte d'accusation sont établis et constitutifs de l'infraction de l'art. 144 al. 1 et al. 3 CP. L'appel doit être rejeté sur ce point.</w:t>
      </w:r>
    </w:p>
    <w:p>
      <w:r>
        <w:rPr>
          <w:b/>
        </w:rPr>
        <w:t>E. 3.1</w:t>
      </w:r>
    </w:p>
    <w:p>
      <w:r>
        <w:t>L'infraction de l'art. 144 al. 3 CP est, depuis le 1 er juillet 2023, passible d'une peine privative de cinq ans au plus ou d'une peine pécuniaire, tandis que celle de l'art. 285 aCP, applicable à titre de lex mitior en vertu de l'art. 2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La culpabilité de l'auteur doit être évaluée en fonction de tous les éléments objectifs pertinents, qui ont trait à l'acte lui-même, à savoir notamment la gravité de la lésion, le caractère répréhensible de l'acte et son mode.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3.4.1. Le juge atténue la peine si, au moment d'agir, l'auteur ne possédait que partiellement la faculté d'apprécier le caractère illicite de son acte ou de se déterminer d'après cette appréciation (art. 19 al. 2 CP). 3.4.2. Il atténue également la peine si l'auteur a agi dans une détresse profonde et s'il a agi en proie à une émotion violente que les circonstances rendent excusables ou s'il a agi dans un état de profond désarroi (art. 48 let. a ch. 2 CP et let. c CP). Il y a détresse profonde lorsque l'auteur est poussé à transgresser la loi pénale par une situation proche de l'état de nécessité, c'est-à-dire que, sous la pression d'une détresse particulièrement grave, il croit ne pouvoir trouver d'autre issue que dans la commission de l'infraction (ATF 147 IV 249 consid. 2.1 ; 107 IV 94 consid. 4a).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Le profond désarroi, formulation qui correspond à celle de l'art. 113 CP relatif au meurtre passionnel, vise un état d'émotion qui mûrit progressivement pendant une longue période, qui couve pendant longtemps jusqu'à ce que l'auteur soit complètement désespéré et ne voie d'autre issue que d'agir ainsi qu'il le fait (ATF 119 IV 202 consid. 2a ; ATF 118 IV 233 consid. 2a). Il doit être rendu excusable par les circonstances (ATF 119 IV 203 consid. 2a ; ATF 118 IV 233 consid. 2a). Le plus souvent, il est rendu excusable par le comportement blâmable de la victime à l'égard de l'auteur, mais il peut aussi l'être par le comportement d'un tiers ou par des circonstances objectives (ATF 147 IV 249 consid. 2.3 ; 119 IV 202 consid. 2a). Pour que son état soit excusable, l'auteur ne doit pas être responsable, ou principalement responsable, de la situation conflictuelle qui le provoque (ATF 119 IV 202 consid. 2a.). Les deux circonstances atténuantes de la détresse profonde et du profond désarroi sont ainsi similaires en ce qu'elles résultent d'un mûrissement progressif et d'un sentiment d'impuissance de l'auteur face à une situation ressentie comme injuste. Toutefois, la détresse profonde peut être fautive, alors que le profond désarroi doit avoir un caractère excusable. Les deux notions ne visent pas la même situation. D'une part, la détresse profonde privilégie la représentation subjective de l'auteur mais doit respecter une certaine proportionnalité. Elle concerne donc des infractions moins graves. On peut commettre un vol dans un supermarché dans un état de détresse profonde, alors même qu'objectivement il existe toujours d'autres issues pour sortir du dénuement, du moins dans notre pays. D'autre part, le profond désarroi est un état psychologique que chacun est susceptible de ressentir et qui est fondé sur des éléments éthiques objectifs. C'est cet état psychologique et non l'acte qui doit être excusable, ce qui permet d'envisager la circonstance atténuante, même pour des infractions objectivement très graves. Il y a donc place, dans un ensemble cohérent, pour les deux circonstances atténuantes (L. MOREILLON / A. MACALUSO / N. QUELOZ / N. DONGOIS (éds), Commentaire romand, Code pénal I, art. 1-110 CP, 2 ème éd., Bâle 2021, n. 16 ad art. 48).</w:t>
      </w:r>
    </w:p>
    <w:p>
      <w:r>
        <w:rPr>
          <w:b/>
        </w:rPr>
        <w:t>E. 3.5</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3.6</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arrêt du Tribunal fédéral 6B_420/2017 du 15 novembre 2017 consid. 2.1), pas plus que sa situation économique ou le fait que son insolvabilité apparaisse prévisible (ATF 134 IV 97 consid. 5.2.3).</w:t>
      </w:r>
    </w:p>
    <w:p>
      <w:r>
        <w:rPr>
          <w:b/>
        </w:rPr>
        <w:t>E. 3.7</w:t>
      </w:r>
    </w:p>
    <w:p>
      <w:r>
        <w:t>La culpabilité de l'appelant est sérieuse. Il s'en est pris au patrimoine de l'État en jetant des pierres, à plusieurs reprises, sur les vitres d'un service d'intérêt public. Il a ainsi pris le risque, pour manifester sa colère, de blesser les collaborateurs dudit service et les a effrayés. Il a également proféré des menaces à l'égard de sa curatrice et d'autres fonctionnaires dont la mission était de lui apporter de l'aide et les a objectivement empêchés de mener à bien leurs tâches pour obtenir de l'argent. Ses mobiles sont égoïstes. Il a agi par convenance personnelle, en étant incapable de faire preuve de maîtrise de soi et après avoir volontairement omis de prendre son traitement. Sa collaboration a été mauvaise au début de la procédure, puis elle s'est améliorée puisqu'il a admis tous les faits qui lui étaient reprochés. Sa prise de conscience est inexistante ; il persiste à se retrancher derrière la prétendue responsabilité du service incriminé qui l'aurait poussé à agir. Les éléments précités, en particulier son mobile et son absence de prise de conscience, peuvent néanmoins s'expliquer par sa situation personnelle, notamment son état de santé, et permettent de relativiser d'autant sa faute. Sa responsabilité aux moment des faits était moyennement restreinte à teneur de l'expertise psychiatrique, dont il n'y pas de raison de s'écarter. Aucun motif d'atténuation de la peine au sens de l'art. 48 CP n'entre en ligne de compte. L'appelant ne peut se prévaloir d'une détresse profonde dans la mesure où l'importance des biens qu'il a lésés, ne serait-ce qu'en raison du montant des dommages occasionnés et surtout du risque pour l'intégrité physique des employés, n'est pas dans un rapport de proportionnalité avec les motifs qu'il évoque (obtention d'argent de poche), sans compter qu'il bénéficiait d'autre moyens pour se faire entendre du service, notamment par la voie judiciaire comme il l'a lui-même indiqué. Il ne saurait pas non plus invoquer un profond désarroi dans la mesure où son état n'était pas excusable. Il a, à le suivre, à dessein, mis fin à son traitement qu'il savait indispensable, ce qui a entraîné sa crise de décompensation et impacté négativement son comportement. Il y a deux infractions passibles d'une peine du même genre, d'où l'application du principe d'aggravation. L'appelant a plusieurs antécédents dont un spécifique qui est toutefois ancien.</w:t>
      </w:r>
    </w:p>
    <w:p>
      <w:r>
        <w:rPr>
          <w:b/>
        </w:rPr>
        <w:t>E. 3.8</w:t>
      </w:r>
    </w:p>
    <w:p>
      <w:r>
        <w:t>Vu ce qui précède, en particulier sa situation personnelle et ses antécédents, les deux infractions doivent être sanctionnées par une peine privative de liberté.</w:t>
      </w:r>
    </w:p>
    <w:p>
      <w:r>
        <w:rPr>
          <w:b/>
        </w:rPr>
        <w:t>E. 3.9</w:t>
      </w:r>
    </w:p>
    <w:p>
      <w:r>
        <w:t>Une peine privative de liberté de huit mois sera prononcée, soit cinq mois pour sanctionner les dommages à la propriété d'importance considérable, infraction objectivement la plus grave, et trois mois pour réprimer l'infraction de l'art. 285 aCP (peine théorique : six mois), en tenant compte de sa responsabilité moyennement diminuée, ce qui impacte sa faute.</w:t>
      </w:r>
    </w:p>
    <w:p>
      <w:r>
        <w:rPr>
          <w:b/>
        </w:rPr>
        <w:t>E. 3.10</w:t>
      </w:r>
    </w:p>
    <w:p>
      <w:r>
        <w:t>Compte tenu de ses antécédents, du risque de récidive mis en évidence par l'expertise ainsi que le fait qu'une mesure est préconisée, l'appelant ne remplit pas les conditions du sursis, son pronostic étant défavorable (art. 42 al. 1 CP a contrario). 3.11.1.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(art. 63 al. 2 CP) 3.11.2. Il n'y a aucune raison de s'écarter des conclusions de l'experte, qui a développé son opinion dans un rapport complet et circonstancié, et selon lesquelles une mesure ambulatoire est suffisante, ce qu'elle a à nouveau répété en appel après avoir pris connaissance des dernières attestations médicales. Celles-ci montrent, comme l'a relevé la psychiatre, une certaine réticence du patient qui est d'après elle inhérente à sa pathologie. L'appelant suit malgré tout son traitement mensuel, n'a pas présenté de symptômes de décompensation depuis sa libération et se dit preneur des soins proposés, évoquant, en appel uniquement, ses difficultés à se lever ou être à l'heure. 3.11.3. Il sera renoncé à l'exécution de la sanction – laquelle est au demeurant entièrement compensée avec la détention subie avant jugement (cf. infra consid. 6) – au profit de la mesure, afin de favoriser la réussite du traitement ambulatoire. Il en ira de même de l'assistance de probation, laquelle n'apparaît plus utile en l'état, étant observé que le service en charge a évoqué avoir atteint les limites de l'aide qu'il pouvait apporter à l'appelant vu sa condition.</w:t>
      </w:r>
    </w:p>
    <w:p>
      <w:r>
        <w:rPr>
          <w:b/>
        </w:rPr>
        <w:t>E. 4.1</w:t>
      </w:r>
    </w:p>
    <w:p>
      <w:r>
        <w:t>Le tribunal statue également sur les conclusions civiles présentées lorsqu'il condamne le prévenu (art. 126 al. 1 let. a CPP). 4.2.1. Selon l'art. 41 al. 1 de la Loi fédérale complétant le Code civil suisse (CO), celui qui cause, d'une manière illicite, un dommage à autrui, soit intentionnellement, soit par négligence ou imprudence, est tenu de le réparer. 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 4.2.2. Si l'équité l'exige, le juge peut condamner une personne même incapable de discernement à la réparation totale ou partielle du dommage qu'elle a causé (art. 54 al. 1 CO). Quiconque a été frappé d'une incapacité passagère de discernement est tenu de réparer le dommage qu'il a causé dans cet état, s'il ne prouve qu'il y a été mis sans sa faute (art. 54 al. 2 CO).</w:t>
      </w:r>
    </w:p>
    <w:p>
      <w:r>
        <w:rPr>
          <w:b/>
        </w:rPr>
        <w:t>E. 4.3</w:t>
      </w:r>
    </w:p>
    <w:p>
      <w:r>
        <w:t>Vu la condamnation de l'appelant, il sera fait droit aux conclusions civiles de l'intimé, dont le dommage a été démontré par les factures produites. La défense plaide en vain que l'appelant était incapable de discernement au moment des faits. Même à considérer que tel était le cas, il n'est pas démontré que ce dernier ne s'est pas mis dans cet état sans sa faute : il a stoppé sa médication à dessein pour faire réagir le service intimé, alors qu'il connaissait l'importance de celle-ci et le risque d'un arrêt brutal de son traitement. De surcroît, au vu de l'ampleur des dégâts et du caractère disproportionné de sa réaction, l'équité exige qu'il répare le préjudice causé en toute hypothèse.</w:t>
      </w:r>
    </w:p>
    <w:p>
      <w:r>
        <w:rPr>
          <w:b/>
        </w:rPr>
        <w:t>E. 5</w:t>
      </w:r>
    </w:p>
    <w:p>
      <w:r>
        <w:t>Vu l'issue de la procédure d'appel, il n'y a pas lieu de revenir sur les mesures de confiscation ordonnées par le premier juge (art. 69 CP).</w:t>
      </w:r>
    </w:p>
    <w:p>
      <w:r>
        <w:rPr>
          <w:b/>
        </w:rPr>
        <w:t>E. 6</w:t>
      </w:r>
    </w:p>
    <w:p>
      <w:r>
        <w:t>6.1. L'art. 431 al. 2 CPP vise l'indemnisation de la détention 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w:t>
      </w:r>
    </w:p>
    <w:p>
      <w:r>
        <w:rPr>
          <w:b/>
        </w:rPr>
        <w:t>E. 6.2</w:t>
      </w:r>
    </w:p>
    <w:p>
      <w:r>
        <w:t>Aux termes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 L'art. 51 CP doit être appliqué d'office, l'imputation étant obligatoire et inconditionnelle (arrêt du Tribunal fédéral 6B_1033/2018 du 27 décembre 2018 consid. 2.4).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6.3.1. L'appelant a subi 265 jours de détention avant jugement et a été astreint à des mesures de substitution durant 416 jours, dont 169 jours jusqu'au premier jugement. À l'instar du premier juge, l'impact desdites mesures de substitution sur la liberté personnelle de l'appelant peut être pondéré comme équivalent à 10% d'autant de jours de détention, soit un total de 42 jours, étant rappelé, d'une part, que l'appelant n'a pas contesté cette appréciation, d'autre part, qu'il ne s'est pas conformé en tous points aux mesures de substitution ordonnées. 6.3.2. La peine prononcée en appel (huit mois ou 240 jours) dépasse la durée de la détention avant jugement exécutée par l'appelant, y compris les jours imputés à titre de mesures de substitution (265 jours plus 42 jours). Les 307 jours seront ainsi d'abord imputés sur la sanction prononcée en appel à raison de 240 jours et les 67 jours restant, à due concurrence, sur la peine pécuniaire de 100 jours-amende prononcée le 24 juillet 2018 par le MP. Ainsi, les conclusions en indemnisation de l'appelant seront rejetées.</w:t>
      </w:r>
    </w:p>
    <w:p>
      <w:r>
        <w:rPr>
          <w:b/>
        </w:rPr>
        <w:t>E. 7</w:t>
      </w:r>
    </w:p>
    <w:p>
      <w:r>
        <w:t>Les motifs ayant conduit le premier juge à prononcer, par ordonnance séparée, le maintien des mesures de substitution sont toujours d'actualité, ce que l'appelant ne remet pas en question, de sorte que la mesure sera reconduite mutatis mutandis jusqu'à l'entrée en force du présent arrêt (ATF 139 IV 277 consid. 2.2 à 2.3).</w:t>
      </w:r>
    </w:p>
    <w:p>
      <w:r>
        <w:rPr>
          <w:b/>
        </w:rPr>
        <w:t>E. 8</w:t>
      </w:r>
    </w:p>
    <w:p>
      <w:r>
        <w:t>L'appelant, qui succombe en grande partie, supportera 75% de frais de la procédure de l'appel envers l'État (art. 428 CPP), y compris un émolument d'arrêt de CHF 1'500.-. Au vu de la confirmation des verdicts de culpabilité, la répartition des frais de première instance ne sera pas revue.</w:t>
      </w:r>
    </w:p>
    <w:p>
      <w:r>
        <w:rPr>
          <w:b/>
        </w:rPr>
        <w:t>E. 9</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d'appel.</w:t>
      </w:r>
    </w:p>
    <w:p>
      <w:r>
        <w:rPr>
          <w:b/>
        </w:rPr>
        <w:t>E. 9.4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9.5</w:t>
      </w:r>
    </w:p>
    <w:p>
      <w:r>
        <w:t>Les séances internes entre le défenseur d'office et son stagiaire ne sont pas indemnisées par l'assistance juridique ( AARP/57/2016 du 9 février 2016 consid. 7.2 et 7.3 ; AARP/307/2014 du 2 juillet 2014 ; AARP/20/2014 du 7 janvier 2014).</w:t>
      </w:r>
    </w:p>
    <w:p>
      <w:r>
        <w:rPr>
          <w:b/>
        </w:rPr>
        <w:t>E. 9.6</w:t>
      </w:r>
    </w:p>
    <w:p>
      <w:r>
        <w:t>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9.7.1. En l'occurrence, ne sera pas indemnisé le temps consacré par les stagiaires à la rédaction ainsi qu'à la révision de la déclaration d'appel et à l'envoi de deux courriels au mandant, l'activité adéquate à ce titre étant couverte par le forfait. Seront écartées les discussions internes entre le collaborateur et les stagiaires – dans la mesure où elles relevaient de la formation de ceux-ci, laquelle n'a pas à être rémunérée pas l'assistance judiciaire – ainsi qu'entre stagiaires, le travail de deux élèves avocats n'apparaissant pas nécessaire eu égard à la difficulté relative du dossier. Sera réduit à dix heures le temps consacré par les stagiaires à la préparation des débats d'appel, ce qui est déjà considérable au vu de la difficulté de l'affaire, mais demeure acceptable pour un travail effectué en formation. Le temps consacré par le collaborateur à la préparation des débats d'appel ne sera pas indemnisé, l'appelant ayant été accompagné par les stagiaires aux débats d'appel, l'un d'entre eux ayant du reste requis une attestation de plaidoiries. Cela étant, une double présence était superflue, de sorte qu'il se justifie de ne tenir compte que de la présence d'un seul stagiaire et d'un unique forfait de déplacement. 9.7.2. En conclusion, la rémunération sera arrêtée à CHF 2'021.10 correspondant à 13.8 heures d'activité au tarif de CHF 110.-/heure (CHF 1'518.-) plus la majoration forfaitaire de 20% (CHF 303.60), le déplacement à l'audience d'appel (CHF 55.-) et l'équivalent de la TVA au taux de 7.7% (CHF 144.50).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