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P/6095/2022 vom 29. April 2024</w:t>
      </w:r>
    </w:p>
    <w:p>
      <w:r>
        <w:t>GE Cour de justice, 2024-04-29, FR</w:t>
      </w:r>
    </w:p>
    <w:p>
      <w:r>
        <w:rPr>
          <w:b/>
        </w:rPr>
        <w:t xml:space="preserve">Quelle: </w:t>
      </w:r>
      <w:r>
        <w:t>https://mcp.opencaselaw.ch/entscheid/ge_gerichte_P_6095_2022</w:t>
      </w:r>
    </w:p>
    <w:p>
      <w:r>
        <w:t>FR: GE_GERICHTE P/6095/2022 du 29 avril 2024</w:t>
      </w:r>
    </w:p>
    <w:p>
      <w:r>
        <w:t>IT: GE_GERICHTE P/6095/2022 del 29 aprile 2024</w:t>
      </w:r>
    </w:p>
    <w:p>
      <w:pPr>
        <w:pStyle w:val="Heading2"/>
      </w:pPr>
      <w:r>
        <w:t>Regeste</w:t>
      </w:r>
    </w:p>
    <w:p>
      <w:r>
        <w:t>RÉVISION(DÉCISION);NOTIFICATION IRRÉGULIÈRE | CPP.410.al1.leta; CPP.437.al1; CPP.85; CPP.88.al1</w:t>
      </w:r>
    </w:p>
    <w:p>
      <w:pPr>
        <w:pStyle w:val="Heading2"/>
      </w:pPr>
      <w:r>
        <w:t>Erwägungen</w:t>
      </w:r>
    </w:p>
    <w:p>
      <w:r>
        <w:rPr>
          <w:b/>
        </w:rPr>
        <w:t>E. 3</w:t>
      </w:r>
    </w:p>
    <w:p>
      <w:r>
        <w:t>Compte tenu de ce qui précède, les frais de la procédure de révision seront laissés à la charge de l’État.</w:t>
      </w:r>
    </w:p>
    <w:p>
      <w:r>
        <w:rPr>
          <w:b/>
        </w:rPr>
        <w:t>E. 4</w:t>
      </w:r>
    </w:p>
    <w:p>
      <w:r>
        <w:t>.3. Le temps de déplacement de l'avocat est considéré comme nécessaire pour la défense d'office au sens de l'art. 135 CPP. La jurisprudence admet que la rémunération y relative soit inférieure à celle des diligences de l'avocat, dans la mesure où il ne fait pas appel à ses compétences intellectuelles relevant de l'exécution du mandat stricto sensu (arrêt du Tribunal fédéral ATF 25.05.2011 6B_810/2010 consid. 2.2 ; dans ce sens : ordonnance de la Cour des plaintes TPF BB.2015.44 du 27 octobre 2015 consid. 3.2.4). Dans le cas des prévenus en détention, en application de ce principe,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w:t>
      </w:r>
    </w:p>
    <w:p>
      <w:r>
        <w:rPr>
          <w:b/>
        </w:rPr>
        <w:t>E. 4.1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4.4</w:t>
      </w:r>
    </w:p>
    <w:p>
      <w:r>
        <w:t>En l'occurrence l’activité facturée apparaît importante au vu du faible volume du dossier ; cela étant, compte tenu de la confusion entretenue par le MP elle sera intégralement indemnisée, avec une seule réserve. En effet, il ressort des informations recueillies auprès de la prison que seul l’un des entretiens du stagiaire a dépassé la durée habituelle. Les deux visites au prévenu détenu – justifiées vu la nature de la procédure – seront donc indemnisées au forfait de 1h30, mais une durée d’activité supplémentaire de 45 minutes sera ajoutée pour tenir compte de la durée particulièrement longue du parloir. Il ne se justifie au surplus pas de déroger aux tarifs prévus par le RAJ. En conclusion, la rémunération sera arrêtée à CHF 2'800.85 correspondant à 16 heures et 45 minutes d'activité au tarif de CHF 110.-/heure et une heure et 35 minutes d’activité au tarif de CHF 200.-/heure, plus la majoration forfaitaire de 20% et l'équivalent de la TVA au taux de 8.1% en CHF 209.85.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