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P/6092/2016 vom 24. Februar 2017</w:t>
      </w:r>
    </w:p>
    <w:p>
      <w:r>
        <w:t>GE Cour de justice, 2017-02-24, FR</w:t>
      </w:r>
    </w:p>
    <w:p>
      <w:r>
        <w:rPr>
          <w:b/>
        </w:rPr>
        <w:t xml:space="preserve">Quelle: </w:t>
      </w:r>
      <w:r>
        <w:t>https://mcp.opencaselaw.ch/entscheid/ge_gerichte_P_6092_2016</w:t>
      </w:r>
    </w:p>
    <w:p>
      <w:r>
        <w:t>FR: GE_GERICHTE P/6092/2016 du 24 février 2017</w:t>
      </w:r>
    </w:p>
    <w:p>
      <w:r>
        <w:t>IT: GE_GERICHTE P/6092/2016 del 24 febbraio 2017</w:t>
      </w:r>
    </w:p>
    <w:p>
      <w:pPr>
        <w:pStyle w:val="Heading2"/>
      </w:pPr>
      <w:r>
        <w:t>Regeste</w:t>
      </w:r>
    </w:p>
    <w:p>
      <w:r>
        <w:t>IN DUBIO PRO REO; INFRACTIONS CONTRE LE PATRIMOINE; RECEL; VOL(DROIT PÉNAL); INFRACTION D'IMPORTANCE MINEURE; DISPOSITIONS PÉNALES DE LA LETR; SÉJOUR ILLÉGAL; DIRECTIVE 2008/115/CE ; DISPOSITIONS PÉNALES DE LA LSTUP; CONSOMMATION DE STUPÉFIANTS; CANNABIS; FIXATION DE LA PEINE; AMENDE | CP160.1; CP139.1; CP172ter.1; LETR115.1.b; LSTUP19a.1; LSTUP19.1.d; LSTUP28b.1; CP47a; CP106; CP49.1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124 IV 86 consid. 2a p. 87 ss). 2.1.2. A teneur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(al. 1). Si l'infraction préalable est poursuivie sur plainte, le recel ne sera poursuivi que si cette plainte a été déposée (al. 2). Le recel est une infraction intentionnelle, mais il suffit que l'auteur sache ou doive présumer, respectivement qu'il accepte l'éventualité que la chose provienne d'une infraction contre le patrimoine (arrêts du Tribunal fédéral 6B_1124/2014 du 22 septembre 2015 consid. 2.1 et 6B_728/2010 du 1 er mars 2011 consid. 2.2). Il en va ainsi lorsque les circonstances suggèrent le soupçon de la provenance délictueuse (ATF 129 IV 230 consid. 5.3.2 p. 236 s. et les références à ATF 119 IV 242 consid. 2b p. 247 ; 101 IV 402 consid. 2 p. 405 s.). Une connaissance précise de l'infraction préalable, des circonstances entourant sa commission ou de l'auteur de cette dernière n'est pas nécessaire (ATF 119 IV 242 consid. 2b = JdT 1977 IV 38). 2.1.3. Commet un vol au sens de l'art. 139 ch. 1 CP celui qui, pour se procurer ou procurer à un tiers un enrichissement illégitime, aura soustrait une chose mobilière appartenant à autrui dans le but de se l'approprier. Indépendamment du fait que le dessein d'enrichissement ne fait pas partie de l'intention mais constitue un élément subjectif supplémentaire,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Dans ces deux cas, l'auteur soustrait à l'ayant droit une chose, non pas à cause de sa valeur intrinsèque, mais bien en fonction de sa valeur d'usage, le dessein d'enrichissement illégitime s'étendant à cette dernière valeur (ATF 111 IV 74 consid. 1 p.75). En outre, l'enrichissement est illégitime s'il est acquis de façon contraire à l'ordre juridique (M. DUPUIS / B. GELLER / G. MONNIER / L. MOREILLON / C. PIGUET / C. BETTEX / D. STOLL (éds), Code pénal - Petit commentaire , Bâle 2012, n. 25 et 27 ad rem. prél. art. 137 ss). D'après la jurisprudence, il y a enrichissement illégitime si l'auteur ne peut valablement y prétendre (ATF 105 IV 29 consid. 3a). 2.1.4.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Un élément patrimonial est de faible valeur au sens de cette disposition, s'il ne dépasse pas CHF 300.-. Le critère déterminant est l'intention de l'auteur, non pas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CHF 300.- (ATF 123 IV 197 consid. 2a p. 199 = JdT 1999 IV 66 ; 123 IV 155 consid. 1a p. 156 = JdT 1998 IV 170 ; 122 IV 156 consid. 2a p. 159/160 = SJ 1996 602 ; arrêts du Tribunal fédéral 6B_208/2010 du 15 juillet 2010 consid. 3.1 et 6B_316/2009 du 21 juillet 2009 consid. 3.3). 2.1.5. Les clés de service, au sens de l'art. 105E al. 1 du Règlement d'application de la loi sur les constructions et les installations diverses du 27 février 1978 (RCI – L 5 05.01), donnent accès " aux immeubles, aux locaux contenant les installations électriques générales, aux transformateurs, aux groupes de secours, aux accumulateurs, aux chaufferies, aux locaux abritant les installations aérauliques, aux locaux des machines d'ascenseurs et de monte-charges ainsi qu'aux aires délimitées par des chaînes " (art. 105A al. 1 RCI). Selon les " tarifs des interventions ", établis par les SIG le 12 juin 2008, le prix initial d'une clé de service est fixé à CHF 42.15, TVA comprise, en cas de perte ou de vol, une pénalité de CHF 250.95 est appliquée en remplacement de la clé ( cf. : http://www.sig-ge.ch/nous-connaitre/support-et-communications/Documents/Tarifs %20et%20r%C3%A9glements/Divers/tarifs_interventions.pdf ) . Dès le 1 er mars 2017, ces montants seront portés à CHF 60.-, respectivement à CHF 500.- (Règlement SIG relatif aux clés de service cf. : http://www.sig-ge.ch/professionnels/partenaires/vos-services-en-ligne/cles-et-cylindres-de-service /Documents/Reglement_cles_service.pdf).</w:t>
      </w:r>
    </w:p>
    <w:p>
      <w:r>
        <w:rPr>
          <w:b/>
        </w:rPr>
        <w:t>E. 2.2</w:t>
      </w:r>
    </w:p>
    <w:p>
      <w:r>
        <w:t>En l'espèce, il n'est pas contesté que la clé de service, avant d'être remise à l'appelant, a été soustraite à autrui dans un but d'appropriation, au vu de la plainte pénale déposée par D______. La soustraction d'un objet de cette nature vise incontestablement un avantage patrimonial d'une valeur supérieure à celle de son prix initial ou de remplacement, que ce soit en vue de sa revente au plus offrant, de faciliter la commission d'un maximum de cambriolages ou encore de pénétrer sans droit de manière illimitée dans des espaces privés pour y demeurer gratuitement, les clés de service donnant accès à un nombre indéterminé de bâtiments à Genève, soit aux halls d'immeubles, aux caves, aux parkings, etc. Le dol de l'auteur de l'infraction préalable n'était donc pas limité à un élément patrimonial de faible valeur, ce qui exclut le vol d'importance mineure et, par conséquent, la nécessité d'une plainte pénale, l'infraction de vol étant poursuivie d'office. Par ailleurs, cet auteur savait non seulement qu'il s'était procuré un privilège auquel il n'avait pas droit, dès lors qu'il a consciencieusement limé le numéro de série apparaissant sur la clé, mais encore l'usage qu'il pouvait en faire, l'appelant ayant déclaré que E______ lui avait précisé que la clé lui permettrait d'accéder à " des endroits où dormir ". Quant à l'appelant, il a admis, devant le Tribunal de police et la juridiction d'appel, avoir fait une acquisition durable de cette clé, qui lui avait été donnée. L'appelant ne peut être suivi lorsqu'il allègue ne pas avoir envisagé que la clé provenait d'un vol, compte tenu du fait qu'elle avait été visiblement limée et qu'elle donnait accès à de nombreuses zones d'habitations où E______ ne résidait pas. Enfin, l'application de l'art. 172ter CP est également exclue s'agissant du recel, pour les motifs retenus s'agissant de l'intention de l'auteur de l'infraction péalable. Il y a lieu, enfin, de rappeler que, selon la police, le jour de leur interpellation, l'appelant a pénétré, grâce à la clef des SIG, dans plusieurs immeubles, en milieu de journée, pendant que son comparse faisait le guet à l'extérieur. Il ne s'agissait donc pas de trouver un endroit pour dormir. Au regard de ces éléments, c'est à bon droit que le premier juge a reconnu l'appelant coupable de recel (art. 160 ch. 1 CP). Le jugement entrepris sera confirmé sur ce point. 2.3.1. L'article 115 al. 1 let. b LEtr réprime le comportement de quiconque séjourne illégalement en Suisse, notamment après l'expiration de la durée du séjour non soumis à autorisation ou du séjour autorisé. 2.3.2.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La CJUE a précisé que les ressortissants de pays tiers ayant, outre le délit de séjour irrégulier, commis un ou plusieurs autres délits, pouvaient le cas échéant, en vertu de l'art. 2 par. 2 let. b de la Directive sur le retour, être soustraits au champ d'application de cette directive (arrêt du 6 décembre 2011 C-329/11 Achughbabian, ch. 41). Le Tribunal fédéral a déduit de cette jurisprudence que la Directive sur le retour n'était pas applicable aux ressortissants des pays tiers qui ont commis, outre le séjour irrégulier, un ou plusieurs autres délits en dehors du droit pénal sur les étrangers (arrêts du Tribunal fédéral 6B_1189/2015 du 13 octobre 2016 consid. 2 et 6B_320/2013 du 29 août 2013 consid. 3.2). 2.3.3.1. 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2.3.3.2.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w:t>
      </w:r>
    </w:p>
    <w:p>
      <w:r>
        <w:rPr>
          <w:b/>
        </w:rPr>
        <w:t>E. 2.4</w:t>
      </w:r>
    </w:p>
    <w:p>
      <w:r>
        <w:t>En l'occurrence, l'appelant ne conteste pas avoir séjourné illégalement en Suisse, mais invoque son impunissabilité du fait que l'infraction à la LEtr serait le seul délit commis et qu'aucune mesure n'aurait été prise par les autorités administratives pour le renvoyer en Algérie. L'appelant ayant été reconnu coupable de recel, la Directive sur le retour ne lui est pas applicable, de sorte que la question de l'absence de mise en œuvre d'une procédure administrative tendant au renvoi forcé ne se pose pas et que le séjour illégal est punissable pour la période pénale allant du 31 mai 2013, à tout le moins, au 1 er avril 2016, période non encore prise en compte lors des condamnations antérieures. Par ailleurs, bien que l'appelant ait été sanctionné les 21 avril 2009, 17 juin 2010, 23 novembre 2011, 7 décembre 2012 et 12 décembre 2012 pour séjour illégal par des peines privatives de liberté, l'addition de ces condamnations s'agissant de ce seul délit n'atteint pas encore le plafond légal de douze mois, de sorte que l'infraction à l'art. 115 al. 1 let. b LEtr devra être sanctionnée en concours avec celle de recel (art. 49 al. 1 CP ; voir infra sous ch. 3.2.1). Le jugement de première instance sera dès lors confirmé sur ce point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Aux termes de l'art. 19 al. 1 let. d LStup, celui qui, sans droit, possède, détient ou acquiert des stupéfiants ou s’en procure de toute autre manière, est puni d'une peine privative de liberté de trois ans au plus ou d'une peine pécuniaire. A teneur de l'art. 19a ch. 1 LStup, celui qui, sans droit, aura consommé intentionnellement des stupéfiants ou celui qui aura commis une infraction à l’art. 19 LStup pour assurer sa propre consommation est passible de l’amende. N'importe quel acte mentionné à l'art. 19 al. 1 LStup, s'il est destiné seulement à la consommation personnelle, tombe sous le coup de l'art. 19a LStup (ATF 108 IV 198 consid. b). Conformément à l'art. 28b al. 1 LStup, les infractions visées à l'art. 19a ch. 1 LStup commises par la consommation de stupéfiants ayant des effets de type cannabique, peuvent être réprimées par une amende d'ordre infligée selon une procédure simplifiée (procédure relative aux amendes d'ordre). Le montant de l'amende d'ordre est alors de 100 francs (al. 2) et il n'est pas tenu compte des antécédents ni de la situation personnelle du contrevenant (al. 3). Dans cette hypothèse, contrairement à la procédure ordinaire, la peine sera prononcée par un organe de police sans prendre en considération les antécédents et la situation personnelle de l'auteur (Rapport de la Commission de la sécurité et de la santé publique du Conseil national, FF 2011 7536). En revanche, l'amende prévue à l'art. 19a ch. 1 LStup, contrairement à celle prévue aux art. 28b ss LStup, s'inscrit dans le cadre d'une procédure ordinaire qui prend en compte les antécédents et les conditions personnelles des contrevenants (FF 2011 7536). La procédure ordinaire n'empêche pas qu'une amende d'ordre puisse également être infligée (art. 28l LStup). 3.2.1. En l'espèce, la nature et la quotité de la peine, non contestées en tant que telles, prononcée par le premier juge en vue de sanctionner les infractions de recel et à l'art. 115 al. 1 let. b LEtr, à savoir une courte peine privative de liberté de 45 jours, consacre une application correcte des critères fixés à l'art. 47 CP. Pour les motifs figurant dans le jugement querellé (p. 8, ch. 2.2.), que la CPAR fait siens, elle est adaptée à la faute de l'appelant. Par conséquent, elle sera confirmée. Compte tenu des nombreuses condamnations antérieures de l'appelant à des peines privatives de liberté fermes et de son statut administratif, une peine pécuniaire, respectivement un travail d'intérêt général, sont exclus. 3.2.2. S'agissant de l'infraction à l'art. 19a ch. 1 LStup, quand bien même l'art. 28b al. 1 LStup permet à la police d'infliger directement une amende d'ordre à un consommateur de cannabis, force est de constater que les agents de police n'ont pas fait usage de cette possibilité dans le cas de l'appelant. Une procédure ordinaire a été mise en place, au cours de laquelle le MP a prononcé par ordonnance pénale une amende, maintenue par le Tribunal de police. Aucune procédure simplifiée n'ayant été entamée, l'art. 28b LStup ne trouve pas application et c'est à bon droit que le premier juge s'est fondé sur l'art. 106 CP au moment de prononcer une peine à l'encontre de l'appelant, prenant ainsi en compte ses antécédents et sa situation personnelle. L'amende de CHF 200.- fixée par le premier juge correspond à l'importance relative de la violation de la loi ainsi qu'à la situation financière de l'appelant, conformément à l'art. 106 al. 3 CP. Le jugement sera donc aussi confirmé sur ce point. L'appel sera ainsi rejeté.</w:t>
      </w:r>
    </w:p>
    <w:p>
      <w:r>
        <w:rPr>
          <w:b/>
        </w:rPr>
        <w:t>E. 4</w:t>
      </w:r>
    </w:p>
    <w:p>
      <w:r>
        <w:t>Vu l'issue de la procédure, l'appelant sera débouté de ses prétentions en indemnisation (art. 429 al. 1 CPP a contrario ).</w:t>
      </w:r>
    </w:p>
    <w:p>
      <w:r>
        <w:rPr>
          <w:b/>
        </w:rPr>
        <w:t>E. 5</w:t>
      </w:r>
    </w:p>
    <w:p>
      <w:r>
        <w:t>L'appelant, qui succombe, supportera les frais de la procédure envers l'Etat, qui comprennent un émolument de jugement de CHF 1'500.- (art. 428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