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P/6086/2020 vom 15. März 2022</w:t>
      </w:r>
    </w:p>
    <w:p>
      <w:r>
        <w:t>GE Cour de justice, 2022-03-15, FR</w:t>
      </w:r>
    </w:p>
    <w:p>
      <w:r>
        <w:rPr>
          <w:b/>
        </w:rPr>
        <w:t xml:space="preserve">Quelle: </w:t>
      </w:r>
      <w:r>
        <w:t>https://mcp.opencaselaw.ch/entscheid/ge_gerichte_P_6086_2020</w:t>
      </w:r>
    </w:p>
    <w:p>
      <w:r>
        <w:t>FR: GE_GERICHTE P/6086/2020 du 15 mars 2022</w:t>
      </w:r>
    </w:p>
    <w:p>
      <w:r>
        <w:t>IT: GE_GERICHTE P/6086/2020 del 15 marzo 2022</w:t>
      </w:r>
    </w:p>
    <w:p>
      <w:pPr>
        <w:pStyle w:val="Heading2"/>
      </w:pPr>
      <w:r>
        <w:t>Regeste</w:t>
      </w:r>
    </w:p>
    <w:p>
      <w:r>
        <w:t>ORDONNANCE DE NON-ENTRÉE EN MATIÈRE;LÉSION CORPORELLE PAR NÉGLIGENCE;SOUPÇON | CPP.310; CP.125</w:t>
      </w:r>
    </w:p>
    <w:p>
      <w:pPr>
        <w:pStyle w:val="Heading2"/>
      </w:pPr>
      <w:r>
        <w:t>Erwägungen</w:t>
      </w:r>
    </w:p>
    <w:p>
      <w:r>
        <w:rPr>
          <w:b/>
        </w:rPr>
        <w:t>E. 1</w:t>
      </w:r>
    </w:p>
    <w:p>
      <w:r>
        <w:t>Le recours est recevable pour avoir été déposé selon la forme et dans le délai prescrits (art. 385 al. 1 et 396 al. 1 CPP), pour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Procureur de n'être pas entré en matière sur sa plainte du 3 avril 2020. ![endif]&gt;![if&gt;</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2.2.1.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2.2.2. Selon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2.2.3. L'art. 318 al. 1 CP punit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Au-delà du certificat médical au sens propre du terme, sont également considérés comme tels, outre les certificats sanitaires de capacité de travail, les actes de naissance et les certificats de décès, ainsi que les certificats de vaccination ou les rapports médico-légaux relatifs notamment au taux d'alcoolémie ou à la vérification des conditions d'aptitude à la conduite. Les ordonnances sont également considérées comme des certificats médicaux. Le dossier clinique en tant que tel n'est en revanche pas considéré comme un certificat au sens de cette norme, mais bien comme un titre conformément à l'art. 251 CP (A. MACALUSO / L. MOREILLON / N. QUELOZ (éds), Commentaire romand, Code pénal II, vol. II, Partie spéciale : art. 111- 392 CP , Bâle 2017, n.5 ad art. 318). 2.2.4.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 Seuls les documents destinés et propres à prouver un fait ayant une portée juridique sont des titres. Le dossier médical pourrait avoir une crédibilité accrue, selon les prescriptions de la législation cantonale à son sujet (M. DUPUIS / L. MOREILLON / C. PIGUET / S. BERGER / M. MAZOU / V. RODIGARI (éds), Code pénal - Petit commentaire , 2e éd., Bâle 2017, n. 6 et 67 ad art. 251). Le médecin a l’obligation de tenir un dossier dans les règles de l’art. Le dossier doit faire état des examens, des traitements et des réflexions du médecin, afin d’assurer la sécurité du patient et la transparence – notamment en cas de discussion concernant une erreur thérapeutique, de comprendre l’historique du traitement – (Académie Suisse des Sciences Médicales et la Fédération des médecins suisses, Base juridiques pour le quotidien du médecin , 2 ème éd., Bâle 2013, n. 4.5.).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138 IV 130 consid. 3.2.4; arrêt du Tribunal fédéral 6B_496/2017 du 24 janvier 2018 consid. 2.2). Celui qui veut obtenir une prétention légitime ou éviter un inconvénient injustifié au moyen d'un titre faux est également punissable (ATF 128 IV 265 consid. 2.2; arrêts du Tribunal fédéral 6B_891/2018 du 31 octobre 2018 consid. 3.5.1 ; 6B_116/2017 du 9 juin 2017 consid. 2.2.3). L'illicéité peut donc être déduite du seul fait que l'auteur recourt à un faux (arrêts du Tribunal fédéral 6B_441/2016 du 29 mars 2017 consid. 6.2 ; 6B_367/2007 du 10 octobre 2007 consid. 4.4 non publié in ATF 133 IV 303 ).</w:t>
      </w:r>
    </w:p>
    <w:p>
      <w:r>
        <w:rPr>
          <w:b/>
        </w:rPr>
        <w:t>E. 2.3</w:t>
      </w:r>
    </w:p>
    <w:p>
      <w:r>
        <w:t>En l'espèce, il n'est pas contesté que le recourant souffre d'une perte d'acuité visuelle importante de l'œil droit. Seule est litigieuse la question de la qualification juridique de ces lésions corporelles en lien avec l'intervention du 26 octobre 2015. Le recourant fait valoir depuis lors une perte presque complète et irréversible de la vision de l'œil droit, l'œil gauche étant devenu un œil unique. Les éléments du dossier médical montrent que suite à l'opération pratiquée par la mise en cause, le recourant était gêné par un reste de membrane devant la macula et que sa faible acuité visuelle n'était pas corrigible avec des lunettes ou des lentilles. Il a dû subir ensuite deux autres opérations. La situation médicale est à l'évidence complexe et, en l'état du dossier – lequel ne comprend pas le complément d'instruction requis par la Chambre administrative –, il n'est pas possible de déterminer si la baisse d'acuité visuelle s'explique par une situation préexistante, notamment en raison du décollement de rétine ou la présence de " touchs cristalliniens ", ou si elle est en lien avec les actes reprochés à la mise en cause, soit la rupture capsulaire communiquée tardivement, la pose de l'implant qui a ensuite dû être remplacé ou encore avec la récidive du décollement de rétine. Dans ce contexte, le Ministère public ne peut pas être suivi lorsqu'il écarte d'emblée la qualification de lésions corporelles graves, lesquelles sont poursuivies d'office, au motif que les éventuels manquements de la mise en cause auraient seulement aggravé une situation ophtalmologique préexistante. S'agissant du faux dans les certificats et/ou du faux dans les titres, le recourant met en doute l'authenticité du compte rendu opératoire de la mise en cause du 26 octobre 2015 et de son rapport du 7 novembre 2016, au vu des différences de contenu entre les copies d'un même document, des différences d'impression et de la présence ou l'absence de signature. Ces éléments qui font partie du dossier médical du recourant doivent être considérés comme des titres au sens de l’art. 251 CP. En l'absence des documents litigieux originaux, il n'est pas possible d'affirmer que ceux-ci auraient été modifiés, ce que relève du reste l'expertise privée produite par le recourant. Ceci étant, il n'en subsiste pas moins des différences entre les copies desdits documents. Pour ce seul motif déjà, un doute doit être retenu quant à l'établissement de ces documents produits dans le cadre de la procédure administrative qu'il appartient au Ministère public de lever. Les faits décrits par le recourant pouvant ainsi être constitutifs de lésions corporelles graves par négligence et de faux dans les titres, il existe une prévention pénale suffisante justifiant l'ouverture d'une instruction.</w:t>
      </w:r>
    </w:p>
    <w:p>
      <w:r>
        <w:rPr>
          <w:b/>
        </w:rPr>
        <w:t>E. 3</w:t>
      </w:r>
    </w:p>
    <w:p>
      <w:r>
        <w:t>Fondé, le recours doit être admis; partant, l'ordonnance querellée sera annulée et la cause renvoyée au Ministère public. ![endif]&gt;![if&gt;</w:t>
      </w:r>
    </w:p>
    <w:p>
      <w:r>
        <w:rPr>
          <w:b/>
        </w:rPr>
        <w:t>E. 4</w:t>
      </w:r>
    </w:p>
    <w:p>
      <w:r>
        <w:t>L'admission du recours ne donne pas lieu à la perception de frais (art. 428 al. 1 CPP). Les sûretés versées par le recourant lui seront donc restituées.![endif]&gt;![if&gt;</w:t>
      </w:r>
    </w:p>
    <w:p>
      <w:r>
        <w:rPr>
          <w:b/>
        </w:rPr>
        <w:t>E. 5</w:t>
      </w:r>
    </w:p>
    <w:p>
      <w:r>
        <w:t>Le recourant ne sollicite pas d'indemnité, de sorte qu'il n'y a pas lieu de lui en allouer (art. 433 al. 1 et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