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P/607/2013 vom 7. Oktober 2014</w:t>
      </w:r>
    </w:p>
    <w:p>
      <w:r>
        <w:t>GE Cour de justice, 2014-10-07, FR</w:t>
      </w:r>
    </w:p>
    <w:p>
      <w:r>
        <w:rPr>
          <w:b/>
        </w:rPr>
        <w:t xml:space="preserve">Quelle: </w:t>
      </w:r>
      <w:r>
        <w:t>https://mcp.opencaselaw.ch/entscheid/ge_gerichte_P_607_2013</w:t>
      </w:r>
    </w:p>
    <w:p>
      <w:r>
        <w:t>FR: GE_GERICHTE P/607/2013 du 7 octobre 2014</w:t>
      </w:r>
    </w:p>
    <w:p>
      <w:r>
        <w:t>IT: GE_GERICHTE P/607/2013 del 7 ottobre 2014</w:t>
      </w:r>
    </w:p>
    <w:p>
      <w:pPr>
        <w:pStyle w:val="Heading2"/>
      </w:pPr>
      <w:r>
        <w:t>Regeste</w:t>
      </w:r>
    </w:p>
    <w:p>
      <w:r>
        <w:t>GARANTIE DE PROCÉDURE; DROIT D'ÊTRE ENTENDU; MOTIVATION DE LA DÉCISION; GARANTIE DE LA DIGNITÉ HUMAINE; PROCÈS ÉQUITABLE; DISPOSITIONS PÉNALES DE LA LSTUP; FIXATION DE LA PEINE; SURSIS PARTIEL À L'EXÉCUTION DE LA PEINE; PÉRIODE D'ESSAI; FRAIS DE LA PROCÉDURE | Cst.5.3; Cst.9; Cst.29.1; Cst.29.2; CPP.3; CPP.329.3; CPP.428; LStup.19.2; CP.43; CP.44.1; CP.47</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p. 237 ; arrêts du Tribunal fédéral 1B_74/2014 du 7 avril 2014 consid. 2.1 ; 1B_62/2014 du 4 avril 2014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2.2</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(arrêts du Tribunal fédéral 5A_578/2010 du 19 novembre 2010 ; 5A_279/2010 du 24 juin 2010 consid. 3.3 et les arrêts cités). 2.3.1 En l'espèce, le Conseil de A______ (ci-après : l'appelant) se plaint d'une violation de son droit d'être entendu. Il critique le rejet de sa question préjudicielle relative aux observations effectuées par la police au domicile de son mandant, qui n'aurait pas suffisamment été motivé. En persistant à se plaindre en ce sens, l'appelant fait preuve de mauvaise foi. Il ne saurait nier que le rapport d'arrestation du 15 janvier 2013 contient une erreur de plume, ce qui ne nécessite pas de développement plus avancé que celui apporté par le premier juge et consistant à énoncer que cela ressort de manière évidente du rapport pris dans son ensemble. Un rapide examen permet en effet à quiconque de discerner que tant la mention du lundi que celle de l'année 2013 coïncident parfaitement avec la date réelle à laquelle la surveillance est intervenue, soit le 14 janvier 2013, le fait que la suite du récit consiste à détailler, en faisant référence à des heures précises, l'interpellation des prévenus et ses suites ne faisant qu'en apporter la confirmation. La motivation donnée en première instance, bien que succincte, était ainsi amplement suffisante pour permettre à l'appelant de discerner les raisons ayant guidé la décision de l'autorité, de telle manière que le droit d'être entendu n'a pas fait l'objet d'une violation sur ce point. En outre, le fait que plus de huit mois se soient écoulés entre le rejet des questions préjudicielles, intervenu lors de l'audience du 9 juillet 2013, et le jugement du Tribunal correctionnel du 13 mars 2014, aussi regrettable qu'il soit, est une conséquence logique de la suspension de la procédure et de son renvoi devant le Ministère public pour complément d'instruction. Il n'est ainsi pas non plus constitutif d'une violation du droit d'être entendu, pas plus qu'il n'est assimilable à un déni de justice formel. 2.3.2 Le Tribunal correctionnel a rejeté la seconde question préjudicielle de l'appelant en se fondant sur l'art. 329 al. 3 CPP. Pour les juges de première instance, dès lors que l'autorité de jugement avait décidé le 9 juillet 2013 de suspendre la procédure et de la renvoyer au Ministère public, avec la précision que la cause n'était plus pendante devant eux, celui-ci avait repris le rôle de la direction de la procédure. A ce titre, l'instruction de la cause l'avait amené à mettre notamment l'appelant en prévention, à titre complémentaire, les 22 septembre et 2 octobre 2013, pour d'autres faits que ceux figurant dans le premier acte d'accusation. Il était autorisé à le faire, dès lors que toute prolongation de la procédure comporte la potentialité de nouvelles mises en prévention, au gré des nouveaux éléments qu'un Procureur pouvait être amené à devoir prendre en considération dans le cadre de son enquête. 2.4.1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De ce principe général découle notamment le droit fondamental du particulier à la protection de sa bonne foi dans ses relations avec l'Etat, consacré à l'art. 9 in fine Cst. (ATF 138 I 49 consid. 8.3.1 p. 53 et les arrêts cités). Le principe de la bonne foi interdit aux organes de l'Etat et aux justiciables de recourir à des procédés déloyaux et d'abuser manifestement de leurs droits, leur imposant d'exercer ceux-ci dans un esprit de loyauté (G. PIQUEREZ / A. MACALUSO, Procédure pénale suisse , 2011, p. 145 n. 425). Il oblige, par ailleurs, les organes de l'État à éviter les comportements contradictoires (ATF 111 V 81 consid. 6 p. 87), notamment afin d'assurer la sécurité juridique (G. PIQUEREZ / A. MACALUSO, ibidem ). 2.4.2 La motivation du Tribunal correctionnel ne peut être confirmée, pour deux motifs principaux. Il est erroné d'affirmer que les faits à la base desquels des mises en prévention complémentaires ont été notifiées en automne 2013 ne figuraient pas dans le premier acte d'accusation. Pour l'infraction à la LStup, une lecture attentive du dossier permet de constater que le document de F______ s'y trouve depuis l'interpellation de l'appelant, puisqu'il a été saisi lors de la perquisition initiale. Une mise en prévention complémentaire ayant pour fondement ce même document est intervenue le 7 février 2013, avec la mention explicite des 686 grammes de cocaïne résultant de l'addition des chiffres y afférents (1 = 1 gramme). Les audiences d'instruction des 21 janvier et 7 février 2013 y ont été consacrées, en tout ou partie. Ce grief figure en toute logique dans le premier acte d'accusation, sous point B.I.6. La reprise du rôle de direction de la procédure par le Ministère public ne l'autorisait pas à amplifier les charges à l'encontre de l'appelant, ce d'autant moins que les investigations complémentaires sollicitées par le Tribunal correctionnel concernaient uniquement l'épouse de l'appelant, dont la mise en prévention découlait presque exclusivement des traces ADN retrouvées sur les sachets de drogue. Ce faisant, le Procureur a instruit des faits connus avec une interprétation différente, où les chiffres figurant dans le document de F______ ont été globalement multipliés par 10, un doigt pesant grosso modo 10 grammes de cocaïne. Mais la référence à des doigts de cocaïne n'était pas nouvelle, preuve en est que le Ministère public y fait déjà référence lors de l'audience du 21 janvier 2013. Le Ministère public n'était donc pas habilité à quantifier différemment le trafic de stupéfiants à imputer à l'appelant pour ces motifs. Si une erreur avait été commise précédemment, en attribuant un multiplicateur de 1 aux chiffres inscrits sur le document de F______ au lieu de 10, le Procureur, auquel la procédure avait été renvoyée pour des investigations ne relevant nullement de cette problématique, ne pouvait pas la corriger dans un second acte d'accusation, le fait qu'il soit investi de la direction de la procédure après le dessaisissement du Tribunal pénal n'y changeant rien. Le principe de la bonne foi s'oppose à une telle manière de faire. L'esprit de loyauté qui prévaut pour un organe de l'Etat ne l'autorise pas à adopter des comportements qui sont contradictoires, ce qui est le cas quand le même document est interprété différemment en l'absence de tout fait nouveau, avec pour effet de multiplier par 10 les charges pesant sur un prévenu. La fonction de direction de la procédure autorisait le Ministère public à investiguer selon la mission qui lui avait été assignée par le Tribunal correctionnel, pas plus, pas moins. Le même raisonnement vaut mutatis mutandis pour l'infraction à la LEtr. Sans être aussi flagrante que pour l'infraction à la LStup, la référence à un séjour irrégulier figurait déjà dans la procédure avant son renvoi, preuve en est la décision du TMC du 15 janvier 2013. Le Ministère public n'a pas lancé d'autres investigations jusqu'en juillet 2013, se contentant apparemment d'une note de l'OCP laissant penser à un possible regroupement familial. L'information fournie par ce même office le 2 septembre 2013 ne pouvait pas être traduite par une mise en prévention complémentaire, le Procureur n'ayant pas été nanti de la procédure dans ce but, en plus du fait que plusieurs éléments militaient avant le 9 juillet 2013 pour une infraction à la LEtr, à tout le moins pour l'essentiel.</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w:t>
      </w:r>
    </w:p>
    <w:p>
      <w:r>
        <w:t>4.1.1 L'art. 19 al. 1 LStup punit d'une peine privative de liberté de trois ans au plus ou d'une peine pécuniaire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4.1.2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w:t>
      </w:r>
    </w:p>
    <w:p>
      <w:r>
        <w:rPr>
          <w:b/>
        </w:rPr>
        <w:t>E. 4.2</w:t>
      </w:r>
    </w:p>
    <w:p>
      <w:r>
        <w:t>Nonobstant les dénégations de l'appelant, nombreux sont les liens pouvant être faits entre le document de F______ et l'existence d'un important trafic de stupéfiants dans lequel l'appelant a sa place. Le document, dont l'appelant est le destinataire, a été saisi à son domicile, qui plus est dans une glacière lui appartenant. Il est par ailleurs établi qu'il l'a eu en mains, au regard des traces papillaires prélevées. En relation avec le trafic de stupéfiants, les saisies de cocaïne effectuées sur C______ (ci-après : le co-prévenu), sur l'appelant et dans son logement présentent de forts liens de rattachements avec les inscriptions manuscrites figurant sur le relevé de F______, d'ailleurs saisi dans une glacière contenant une importante quantité de drogue. En effet, les inscriptions non suivies d'un "vu" figurant au recto du document, soit ay-20, AL-10, OKOT-11, B-20, Kf-4, AB-5, GB-15 et Ay-5, correspondent exactement à la manière dont la cocaïne trouvée dans la glacière était répartie par sachets, à savoir un sachet contenant 20 doigts de cocaïne comportant chacun l'inscription "ay", un sachet contenant 10 doigts de cocaïne comportant chacun l'inscription "AL", et ainsi de suite. Deux autres inscriptions figurant au verso et suivies d'un "vu", soit "y/r/-11" et "Blue/red-30", correspondent aux sachets retrouvés sur l'appelant et le co-prévenu, contenant respectivement 11 doigts de cocaïne avec des marques rouge et jaune et 25 doigts de cocaïne avec des marques bleue et rouge. Ainsi, alors que les combinaisons de lettres et de chiffres qui ne sont pas suivies du signe "vu" correspondent à différents assortiments de doigts de cocaïne stockés chez l'appelant, une partie de celles qui sont suivies du signe "vu" correspond aux saisies effectuées sur les deux prévenus le jour de leur interpellation. Partant, la thèse selon laquelle le reste des combinaisons suivies du signe "vu" mais non retrouvées correspond à un décompte de la drogue préalablement stockée et déjà livrée n'est pas insoutenable, à l'instar de la cocaïne prête à être livrée le 14 janvier 2013. Il convient au surplus de constater que le lien entre l'appelant et la drogue retrouvée chez lui est scientifiquement établi, des traces ADN lui appartenant ayant été détectées sur le nœud d'un sac plastique et sur une chaussette, objets servant tous deux à contenir de la drogue. Les restrictions fournies par le CURML et le ______ de la BTPS ne s'opposent pas à une telle conclusion. En dépit de ces nombreux éléments qui pourraient faire penser à un récapitulatif, à un décompte des sachets de drogue livrés et à livrer ou à une sorte de comptabilité du trafic de stupéfiants, d'autres éléments n'en sont pas moins troublants. La thèse d'un trafiquant aguerri est battue en brèche par la chronologie puisque, en tout état, le trafic n'aurait duré que deux petites semaines, soit du 2 janvier (date du document de F______) au 14 janvier 2013. Il est dans ces circonstances déjà douteux qu'un trafic ait pu porter sur des centaines de grammes, qui plus est par le biais de très nombreuses livraisons. En sus, les relevés du compte postal de l'appelant ne démontrent aucun apport significatif pouvant coïncider avec un trafic de stupéfiants ayant porté sur des centaines de grammes, des rentrées d'argent dont le maximum ne dépasse pas quelques milliers de francs ne fondant pas un indice probant d'une implication dans un trafic antérieur. S'ajoute à cela l'absence d'antécédents judiciaires de l'appelant, qui affaiblit l'hypothèse voulant qu'il ait stocké et livré d'importantes quantités de cocaïne. Il convient encore de soulever qu'aucun rétroactif téléphonique ne permet de mettre à jour l'étendue des contacts éventuels de l'appelant avec des acteurs d'un trafic. Enfin, la police n'a procédé à aucune enquête tendant à déterminer sa place éventuelle auprès des vendeurs de rue ou des consommateurs locaux. Dans ces circonstances, l'hypothèse voulant qu'un tiers ait pu confier la drogue à l'appelant afin qu'il la stocke pour son propre compte et qu'il ait utilisé un document à portée de main pour y inscrire un décompte récapitulatif des doigts stockés, livrés ou à livrer, ne saurait être exclue. L'absence d'analyse graphologique rend par la force des choses une telle déduction d'autant plus plausible ou, à tout le moins, ne permet pas de l'écarter de manière péremptoire. Le seul fait que des inscriptions figurent en ______, langue de l'appelant, ne suffit pas à opérer un rattachement exclusif à sa personne, ce qui serait différent si les indications avaient été libellées dans une langue moins familière. Au vu de ce qui précède, il convient d'acquitter l'appelant des faits relevant de la violation grave de la LStup décrite au point B.I.6 du premier acte d'accusation, et ce malgré la présence de divers éléments à charge et faute d'investigations complémentaires, notamment de type technique. Sa culpabilité pour les points B.I.1 et B.I.2 du second acte d'accusation est établie, ce que l'appelant ne conteste pas. La quantité de cocaïne retenue fonde un cas grave au sens de l'art. 19 al. 2 let. a LStup.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A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5.1.3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5.1.4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 cet égard, la pratique découlant de l'ATF 118 IV 337 consid. 2c p. 339-340 n'a plus sa place dans le nouveau droit. Dans tous les cas, le juge doit expressément motiver sa décision sur ce point (ATF 134 IV 17 consid. 3 p. 22 ss). 5.1.5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w:t>
      </w:r>
    </w:p>
    <w:p>
      <w:r>
        <w:rPr>
          <w:b/>
        </w:rPr>
        <w:t>E. 5.2</w:t>
      </w:r>
    </w:p>
    <w:p>
      <w:r>
        <w:t>En l'espèce, la faute de l'appelant est importante, les saisies effectuées en date du 14 janvier 2013 portant en totalité sur une quantité dépassant 1'300 grammes nets de cocaïne, soit davantage qu'il n'en faut pour mettre gravement en danger la santé de nombreuses personnes, ce d'autant plus que le taux de pureté de la drogue trouvée sur lui lors de son interpellation s'élève à près de 60%. Si l'appelant a reconnu les faits découlant de l'intervention des forces de l'ordre le 14 janvier 2013, force est de constater qu'il ne pouvait guère faire autrement, vu les circonstances de son arrestation et l'endroit où était dissimulée la drogue. Il n'a en revanche donné aucun élément utile permettant d'identifier son prétendu fournisseur, en dehors d'un vague prénom, et a démontré une certaine propension à minimiser les faits, affirmant, au cours de ses déclarations parfois contradictoires, que son rôle se limitait à conserver la drogue pour un tiers, sans en connaître les propriétés ou la quantité, alors qu'il ressort du dossier qu'il a pris une part active à la répartition des doigts dans les différents sachets plastiques. Sa collaboration a donc été limitée, sans que l'on puisse toutefois exclure son ignorance sur certains points. L'appelant est marié, dispose d'un logement et bénéficie de formations dans divers domaines. Il n'a pas d'antécédents judiciaires. Sa situation personnelle est ainsi relativement bonne et son pronostic d'avenir se présente de manière favorable, ce qui aurait probablement dû le dissuader de se livrer à un trafic de cocaïne. En tout état de cause, il sied de tenir compte de son acquittement en relation avec les faits décrits au point B.I.6 du premier acte d'accusation, consacrant une violation grave de la LStup, et du fait que le concours réel avec l'infraction à la LEtr ne peut plus être retenu, le chef d'accusation y relatif ayant été écarté dans le cadre de la réponse donnée aux questions préjudicielles soulevées en appel. Au vu de l'ensemble de ces éléments, il convient de condamner l'appelant à une peine privative de liberté de trois ans, tout en fixant au maximum légal la partie ferme de la peine à exécuter, à savoir 18 mois, afin de tenir compte de la lourdeur de sa faute. Un délai de mise à l'épreuve de trois ans semble au surplus adéquat pour le dissuader de se livrer à des actes criminels.</w:t>
      </w:r>
    </w:p>
    <w:p>
      <w:r>
        <w:rPr>
          <w:b/>
        </w:rPr>
        <w:t>E. 6</w:t>
      </w:r>
    </w:p>
    <w:p>
      <w:r>
        <w:t>L'appelant ayant pour l'essentiel obtenu gain de cause, les frais de la procédure d’appel seront laissés à la charge de l’Etat (art. 428 CPP a contrario). Au regard de l'issue donnée à la procédure d'appel, l'appelant sera astreint au paiement des deux tiers des frais de la procédure de première instance, lesquels ont été fixés à sa charge par le Tribunal correctionnel à hauteur de CHF 28'856,75 [recte: CHF 27'856,75], la rectification qui profite à l'appelant devant être faite d'office s'agissant d'une erreur de plume (art. 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