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P/6076/2014 vom 25. Juni 2015</w:t>
      </w:r>
    </w:p>
    <w:p>
      <w:r>
        <w:t>GE Cour de justice, 2015-06-25, FR</w:t>
      </w:r>
    </w:p>
    <w:p>
      <w:r>
        <w:rPr>
          <w:b/>
        </w:rPr>
        <w:t xml:space="preserve">Quelle: </w:t>
      </w:r>
      <w:r>
        <w:t>https://mcp.opencaselaw.ch/entscheid/ge_gerichte_P_6076_2014</w:t>
      </w:r>
    </w:p>
    <w:p>
      <w:r>
        <w:t>FR: GE_GERICHTE P/6076/2014 du 25 juin 2015</w:t>
      </w:r>
    </w:p>
    <w:p>
      <w:r>
        <w:t>IT: GE_GERICHTE P/6076/2014 del 25 giugno 2015</w:t>
      </w:r>
    </w:p>
    <w:p>
      <w:pPr>
        <w:pStyle w:val="Heading2"/>
      </w:pPr>
      <w:r>
        <w:t>Regeste</w:t>
      </w:r>
    </w:p>
    <w:p>
      <w:r>
        <w:t>PRÉSOMPTION D'INNOCENCE; ENTRÉE ILLÉGALE; SÉJOUR ILLÉGAL; ACCORD SUR LA LIBRE CIRCULATION DES PERSONNES | LEtr.115.1.b; LEtr.5; LEtr.10; OASA.9.1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3.1.2. Selon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Les conditions d’entrée visées à l’art. 5 LEtr doivent être remplies pendant toute la durée du séjour non soumis à autorisation (al. 2). 3.1.3. L'art. 10 LEtr dispose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 3.1.4. Selon l'art. 9 al. 1 de l'ordonnance relative à l’admission, au séjour et à l’exercice d’une activité lucrative du 24 octobre 2007 (OASA ; RS 142.201), les étrangers sans activité lucrative en Suisse ne doivent pas être munis d’une autorisation ni déclarer leur arrivée si leur séjour n’excède pas trois mois sur une période de six mois à partir de leur entrée en Suisse (séjour non soumis à autorisation). La personne concernée doit fournir, si nécessaire, des documents pertinents pour attester la date d’entrée. 3.1.5. Selon le protocole additionnel II du 27 mai 2008 (RS 0.142.112.681.1) relatif à l'accord du 21 juin 1999 entre la Confédération suisse, d'une part, et la Communauté européenne et ses Etats membres, d'autre part, sur la libre circulation des personnes (ALCP ; RS 0.142.112.681), les ressortissants roumains sont exemptés de l'obligation de visa pour entrer en Suisse.</w:t>
      </w:r>
    </w:p>
    <w:p>
      <w:r>
        <w:rPr>
          <w:b/>
        </w:rPr>
        <w:t>E. 3.2</w:t>
      </w:r>
    </w:p>
    <w:p>
      <w:r>
        <w:t>Le Ministère public, retenant la situation la plus favorable à l'intimée, considère un séjour illégal portant sur 99 jours, du 3 juillet au 9 décembre 2012, soit 5 jours du 3 au 7 juillet 2012, 21 jours du 18 juillet au 7 août 2012, 9 jours du 16 au 24 août 2012, 1 jour le 10 septembre 2012, 59 jours du 25 septembre au 22 novembre 2012 et 4 jours du 6 au 9 décembre 2012. Il ressort du tableau dressé par la police judiciaire genevoise, dans sa version mise à jour le 27 avril 2015, que A______, née le ______ 1992, a été contrôlée sur le territoire genevois sept fois entre le 3 et le 30 juillet 2012, ainsi qu'entre le 3 et le 24 août 2012, quatre fois entre le 10 et le 27 septembre 2012, à huit reprises entre le 1 er et le 25 octobre 2012, dix fois entre le 3 et le 22 novembre 2012 et deux fois entre le 6 et le 9 décembre 2012. Il n'y a pas lieu de remettre en cause les informations précisément recueillies dans ce tableau, son rédacteur ayant clairement expliqué leurs diverses sources. Il convient aussi de constater que tous les contrôles - policiers - répertoriés dans les renseignements de police du 25 mars 2014 apparaissent dans le tableau produit par le Ministère public. Comme expliqué par son auteur, il est logique que dans la mesure où lesdits renseignements ne mentionnent précisément que les contrôles de police, le tableau du 27 avril 2015 répertorie en sus, à d'autres dates, les contrôles des gardes-frontière et des agents municipaux, auxquels s'ajoutent encore les présences de l'intimée dans les abris PC tels que répertoriés par les services sociaux. Sur la base de ces informations, la CPAR, ne doutant pas que toutes concernent bien la personne enregistrée sous "AB______, née le ______ 1992, originaire de Roumanie", a acquis la conviction que l'intimée, bien qu'exemptée de l'obligation de visa pour entrer en Suisse, y a bien séjourné durant à tout le moins 99 jours du 3 juillet au 9 décembre 2012, dans la situation lui étant la plus favorable, soit plus de trois mois sur une période d'à peine plus de cinq mois, démunie de l'autorisation requise et de tous moyens de subsistance propres, contrainte de mendier et dormant sous un pont à la Jonction à teneur de ses déclarations du printemps 2014. Elle l'a partant fait en violation des art. 5 et 10 LEtr, ainsi que 9 al. 1 OASA et sera reconnue coupable d'infraction à l'art. 115 al. 1 let. b. LEtr. Elle ne saurait dans ces circonstances tenir argument du fait qu'elle aurait eu ou non à prouver avoir des moyens de subsistance pour pouvoir entrer en Suisse, l'art. 5 LEtr commandant qu'elle dispose de tels moyens, ce qui précisément n'était pas son cas.</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4.2</w:t>
      </w:r>
    </w:p>
    <w:p>
      <w:r>
        <w:t>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rPr>
          <w:b/>
        </w:rPr>
        <w:t>E. 4.3</w:t>
      </w:r>
    </w:p>
    <w:p>
      <w:r>
        <w:t>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En l'espèce, l'intimée a fait fi des normes en vigueur en matière de droit des étrangers, alors qu'il lui aurait été possible de les respecter du fait de sa nationalité roumaine et des conditions de séjour facilitées dont elle bénéficiait. La période pénale étant courte, sa faute est légère, mais néanmoins pas anodine. L'intimée, jusqu'à et y compris la phase d'appel, conteste l'illicéité de son comportement. Sa prise de conscience est inexistante. Sa situation précaire doit être prise en compte. Aucune circonstance aggravante ou atténuante n'entre en ligne de compte. Elle n'a pas d'antécédent judiciaire, mais il s'agit là d'un facteur neutre (cf. ATF 136 IV 1). Au regard de l'ensemble de ces éléments, il se justifie de prononcer à son encontre une peine pécuniaire de 20 jours-amende, correspondant à sa faute, sous déduction d'un jour-amende valant un jour de détention avant jugement. La quotité du jour-amende sera de CHF 10.- afin de tenir compte de la situation financière de l'intimée, dépourvue de ressources. Cette peine sera assortie du sursis et le délai d'épreuve fixé à deux ans, comme conclu par le Ministère public, ce qui est au demeurant conforme aux éléments de la procédure.</w:t>
      </w:r>
    </w:p>
    <w:p>
      <w:r>
        <w:rPr>
          <w:b/>
        </w:rPr>
        <w:t>E. 5</w:t>
      </w:r>
    </w:p>
    <w:p>
      <w:r>
        <w:t>Vu l'issue de la procédure, il n'y a lieu d'entrer en matière sur les prétentions de l'intimée fondées sur l'art. 429 CPP que de manière très partielle pour l'activité déployée par son conseil avant qu'elle ne soit désignée d'office – qui sera fixée en équité à CHF 500.- –, et de refuser toute indemnisation pour détention injustifiée. Le jugement entrepris sera modifié sur ces points.</w:t>
      </w:r>
    </w:p>
    <w:p>
      <w:r>
        <w:rPr>
          <w:b/>
        </w:rPr>
        <w:t>E. 6</w:t>
      </w:r>
    </w:p>
    <w:p>
      <w:r>
        <w:t>Dans la mesure où l'intimée succombe, puisque condamnée en appel, les frais de la procédure seront mis à sa charge, comprenant un émolument de CHF 1'500.- (art. 428 al. 1 CPP).</w:t>
      </w:r>
    </w:p>
    <w:p>
      <w:r>
        <w:rPr>
          <w:b/>
        </w:rPr>
        <w:t>E. 7</w:t>
      </w:r>
    </w:p>
    <w:p>
      <w:r>
        <w:t>7.1. 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w:t>
      </w:r>
    </w:p>
    <w:p>
      <w:r>
        <w:rPr>
          <w:b/>
        </w:rPr>
        <w:t>E. 7.2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Me X______ a été nommée défenseur d'office de l'intimée le 29 octobre 2014. Elle a présenté le 1 er juin 2015 une note d'honoraires de CHF 500.-, pour 2h30 d'activité déployée en tant que chef d'étude devant la juridiction d'appel, du 8 avril 2015 au 1 er juin 2015. Ledit état de frais est composé de 1h00 de conférence, 1h00 de rédaction du mémoire d'appel, et 30 minutes de consultation du dossier, au tarif horaire de CHF 200.-. Dès lors que la durée du travail et le taux facturés par Me X______ apparaissent adéquats, sa note d'honoraires sera admise dans sa totalité, ce qui correspond à l'indemnité réclamée, à laquelle il convient d'ajouter l'indemnisation forfaitaire de 20%, soit CHF 600.-, la TVA n'étant pas due du fait du domicile à l'étranger de l'intimée.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