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P/6071/2016 vom 26. Januar 2018</w:t>
      </w:r>
    </w:p>
    <w:p>
      <w:r>
        <w:t>GE Cour de justice, 2018-01-26, FR</w:t>
      </w:r>
    </w:p>
    <w:p>
      <w:r>
        <w:rPr>
          <w:b/>
        </w:rPr>
        <w:t xml:space="preserve">Quelle: </w:t>
      </w:r>
      <w:r>
        <w:t>https://mcp.opencaselaw.ch/entscheid/ge_gerichte_P_6071_2016</w:t>
      </w:r>
    </w:p>
    <w:p>
      <w:r>
        <w:t>FR: GE_GERICHTE P/6071/2016 du 26 janvier 2018</w:t>
      </w:r>
    </w:p>
    <w:p>
      <w:r>
        <w:t>IT: GE_GERICHTE P/6071/2016 del 26 gennaio 2018</w:t>
      </w:r>
    </w:p>
    <w:p>
      <w:pPr>
        <w:pStyle w:val="Heading2"/>
      </w:pPr>
      <w:r>
        <w:t>Regeste</w:t>
      </w:r>
    </w:p>
    <w:p>
      <w:r>
        <w:t>VIOLATION D'UNE OBLIGATION D'ENTRETIEN ; INDEMNITÉ(EN GÉNÉRAL) | CP.217.al1; CP.47; CP.34; CPP.391.al2; CPP.433.al1; CPP.433.al2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notamment, la question de la culpabilité (let. a), la quotité de la peine (let. b) et les frais, les indemnités et la réparation du tort moral (let. f). La Chambre limite son examen aux violations décrites dans l'acte d'appel (art. 404 al. 1 CPP), sauf en cas de décisions illégales ou inéquitables (art. 404 al. 2 CPP).</w:t>
      </w:r>
    </w:p>
    <w:p>
      <w:r>
        <w:rPr>
          <w:b/>
        </w:rPr>
        <w:t>E. 2.1</w:t>
      </w:r>
    </w:p>
    <w:p>
      <w:r>
        <w:t>La garantie du droit d'être entendu, déduite de l'art. 29 al. 2 de la Constitution fédérale de la Confédération suisse du 18 avril 1999 (Cst. - RS 101),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au moins brièvement les motifs fondant sa décision, de manière à ce que l'intéressé puisse se rendre compte de la portée de celle-ci et exercer son droit de recours à bon escient (ATF 142 I 135 consid. 2.1 p. 145 ; arrêt du Tribunal fédéral 6B_726/2017 du 20 octobre 2017 consid. 4.1.1). La motivation peut d'ailleurs être implicite et résulter des différents considérants de la décision (ATF 141 V 557 consid. 3.2.1 p. 565 ; arrêt du Tribunal fédéral 6B_1369/2016 du 20 juillet 2017 consid. 3.1).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ATF 137 I 195 = SJ 2011 I 345).</w:t>
      </w:r>
    </w:p>
    <w:p>
      <w:r>
        <w:rPr>
          <w:b/>
        </w:rPr>
        <w:t>E. 2.2</w:t>
      </w:r>
    </w:p>
    <w:p>
      <w:r>
        <w:t>En l'espèce, contrairement à ce que soutient l'appelant, le jugement entrepris expose de façon claire et détaillée les motifs fondant la décision, les éléments constitutifs de l'infraction reprochée ainsi que la fixation de la peine, de sorte que celui-ci pouvait se rendre compte de sa portée et a valablement exercé son droit de recours. Pour le surplus, la CPAR dispose d'un plein pouvoir d'examen.</w:t>
      </w:r>
    </w:p>
    <w:p>
      <w:r>
        <w:rPr>
          <w:b/>
        </w:rPr>
        <w:t>E. 3</w:t>
      </w:r>
    </w:p>
    <w:p>
      <w:r>
        <w:t>3.1. L'art. 217 al. 1 CP punit, sur plainte, celui qui n'aura pas fourni les aliments ou les subsides qu'il doit en vertu du droit de la famille, quoi qu'il en eût les moyens ou pût les avoir. 3.2.1.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3.2.2. Lorsque la quotité de la contribution d'entretien a été fixée dans le dispositif d'un jugement civil valable et exécutoire, le juge pénal appelé à statuer en application de l'art. 217 CP est lié par ce montant (ATF 106 IV 36 ; arrêts du Tribunal fédéral 6B_1017/2016 du 10 juillet 2017 consid. 2.2 ; 6B_608/2014 du 6 janvier 2015 consid. 1.1). Une décision de mesures provisionnelles lie les autorités pénales et suffit à fonder l'obligation d'entretien du débiteur d'aliments (cf. ATF 136 IV 122 consid. 2.3 p. 125 s. ; arrêt du Tribunal fédéral 6B_509/2008 du 29 août 2008 consid. 2.2). Le juge pénal n'a pas à se demander s'il aurait lui-même fixé une somme inférieure ou supérieure. Une constatation judiciaire préalable n'est cependant pas nécessaire dans la mesure où l'obligation d'entretien découle directement de la loi (ATF 128 IV 86 consid. 2b p. 90). L'autorité pénale, qui ne peut pas se fonder sur un jugement civil entré en force ou une convention conclue entre les parties, doit appliquer la méthode dite " directe " et déterminer elle-même la prestation due, ce qui est particulièrement important lorsque le procès civil connaît des longueurs et que le débiteur refuse de payer une pension tant qu'elle n'est pas fixée par une autorité (ATF 128 IV 86 consid. abb et les références citées ; ACPR/485/2015 du 8 septembre 2015 consid. 2.2 ; J. HURTADO POZO, Droit pénal partie spéciale , Genève 2009, n. 3457 ss). 3.2.3. On ne peut reprocher à l'auteur d'avoir violé son obligation d'entretien que s'il avait les moyens de la remplir, ou aurait pu les avoir (arrêt du Tribunal fédéral 6B_509/2008 du 29 août 2008 consid. 2.1). Par-là, on entend celui qui, d'une part, ne dispose certes pas de moyens suffisants pour s'acquitter de son obligation, mais qui, d'autre part, ne saisit pas les occasions de gain qui lui sont offertes et qu'il pourrait accepter (ATF 126 IV 131 consid. 3a p. 133 ; arrêt du Tribunal fédéral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3.2.4.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6B_1017/2016 du 10 juillet 2017 consid. 2.1 ; 6B_496/2016 du 5 janvier 2017 consid. 1.2 et les références ; 6B_573/2013 du 1 er octobre 2013 consid. 1.1).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Selon les normes d'insaisissabilité pour l'année 2016 (NI-2016 – E 3 60.04), mise en œuvre de l'art. 93 LP dans le canton de Genève, le montant de base mensuel (comprenant notamment les frais pour le courant électrique) pour un couple marié s'élevait à CHF 1'700.-, montant à réduire en règle générale, de la moitié (au maximum) si le débiteur vivait en communauté de vie avec un partenaire disposant également de revenus. En supplément au montant de base mensuel, il convenait d'ajouter le loyer effectif pour le logement ou les intérêts hypothécaires, les frais de chauffage et les charges accessoires, les cotisations sociales (notamment à la caisse maladie), les dépenses indispensables à l’exercice d’une profession (notamment pour les repas pris hors du domicile, de CHF 9.- à CHF 11.- par repas principal, et pour les déplacements du domicile au lieu de travail), la formation des enfants et les dépenses diverses (frais médicaux, médicaments, franchise, naissance et soins apportés à des membres de sa famille, déménagement, etc.). En revanche, le versement d'un impôt n'est pas une dépense indispensable au sens de l'art. 93 LP et n'est pas pris en compte dans le calcul du minimum vital (ATF 126 III 89 p. 93 consid. 3b).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(arrêts du Tribunal fédéral 5A_919/2012 du 11 février 2013 consid. 5.3 ; 5A_429/2013 du 16 août 2013 consid. 4). 3.2.5.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3.2.6. L'art. 217 CP n'est pas une infraction de résultat. Il importe dès lors peu que le créancier se retrouve dans une situation de détresse en raison du non-paiement des aliments ou, au contraire, n'ait pas besoin de ces subsides pour vivre (ATF 71 IV 194 , p. 195 ; arrêt du Tribunal fédéral 6P.44/2005 du 27 mai 2005 consid. 4.1 et les références citées). 3.2.7. La dette alimentaire est prioritaire à toutes les autres ( ACJP/161/2007 cons. 2.1), ce qui résulte de plusieurs éléments, notamment du caractère pénal du défaut d'extinction de cette dette (art. 217 CP ici examiné), de sa priorité dans la collocation en droit des poursuites (art. 219 al. 4 1 ère lit. c LP) et de sa spécificité par rapport à l'entame éventuelle du minimum vital (ATF 6S.113/2007 du 12 juin 2007, cons. 3.3; ATF 123 III 332 ).</w:t>
      </w:r>
    </w:p>
    <w:p>
      <w:r>
        <w:rPr>
          <w:b/>
        </w:rPr>
        <w:t>E. 4.1</w:t>
      </w:r>
    </w:p>
    <w:p>
      <w:r>
        <w:t>En l'espèce, la CPAR est liée par la quotité de la contribution d'entretien mensuelle, à savoir CHF 4'500.-, fixée par le Tribunal de première instance le 12 juillet 2016, avec effet rétroactif au 1 er décembre 2014, étant relevé que ce jugement n'a pas fait l'objet d'un appel, ni d'une demande de révision. L'appelant n'a au surplus pas établi qu'il n'aurait pas disposé des ressources financières pour faire appel ou qu'il aurait déposé une demande d'assistance judiciaire, en vue de la prise en charge de ses frais d'avocat et de l'exonération des frais judiciaires.</w:t>
      </w:r>
    </w:p>
    <w:p>
      <w:r>
        <w:rPr>
          <w:b/>
        </w:rPr>
        <w:t>E. 4.2</w:t>
      </w:r>
    </w:p>
    <w:p>
      <w:r>
        <w:t>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peine.![endif]&gt;![if&gt;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En l'espèce, l'appelant n'a pas pris de conclusions subsidiaires sur la peine, laquelle n'est contestée ni dans sa nature, ni dans sa quotité. Comme retenu par le premier juge, sa faute n'est pas légère. Il ne s'est pas acquitté, ou très partiellement, de son obligation d'entretien certes pendant une période pénale assez courte, mais qui se perpétue encore aujourd'hui. Il a ainsi fait preuve d'égoïsme, en privant son épouse des ressources auxquelles elle pouvait légitimement prétendre. Il n'a exprimé aucun regret, susceptible de démontrer qu'il aurait pris conscience de la gravité de ses actes. Il n'a plus cherché à s'acquitter, malgré le dépôt de la plainte, même symboliquement, de la contribution due, alors qu'il en avait les moyens, à tout le moins partiellement.![endif]&gt;![if&gt; La peine de 60 jours-amende, à CHF 55.- l'unité, consacre une application correcte des critères fixés à l'art. 47 CP. Elle tient compte de manière adéquate de la gravité de la faute et de la situation personnelle de l'appelant et sera par conséquent confirmée. Le principe du sursis est acquis à l'appelant (art. 391 al. 2 CPP). Le jugement entrepris sera par conséquent entièrement confirmé.</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6</w:t>
      </w:r>
    </w:p>
    <w:p>
      <w:r>
        <w:t>L'appelant, qui succombe, supportera les frais de la procédure, comprenant un émolument de décision de CHF 2'000.- (art. 428 CPP et 14 al. 1 let. e du Règlement fixant le tarif des frais en matière pénale du 22 décembre 2010 [RS E 4 10.03]). ![endif]&gt;![if&gt;</w:t>
      </w:r>
    </w:p>
    <w:p>
      <w:r>
        <w:rPr>
          <w:b/>
        </w:rPr>
        <w:t>E. 7.1</w:t>
      </w:r>
    </w:p>
    <w:p>
      <w:r>
        <w:t>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p. 287 et les références citées). L'existence d'une reformatio in pejus doit être examinée à l'aune du dispositif (ATF 142 IV 129 consid. 4.5 p. 136 ; ATF 141 IV 132 consid. 2.7.3 p. 140 ; arrêt du Tribunal fédéral 6B_69/2016 du 29 septembre 2016 consid. 2.2.1).![endif]&gt;![if&gt; 7.2.1.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 7.2.2.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Sa prétention en indemnisation n'entre pas dans les prétentions civiles au sens des art. 122 ss CPP et est spécialement réglée par l'art. 433 CPP (arrêt du Tribunal fédéral 6B_47/2017 du 13 décembre 2017 consid. 2.2.4 destiné à la publication).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 er novembre 2016 consid. 3.2 ; 6B_159/2012 du 22 juin 2012 consid. 2.3). 7.2.4.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7.2.5.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Il résulte ainsi du système légal que l'indemnité ne peut pas être requise en tout temps dans le cadre d'une procédure indépendante, selon les art. 363 ss CPP. Elle doit être tranchée avant le jugement. La seule réserve invoquée en doctrine (cf. supra ) est que le juge doit avoir rendu la partie plaignante attentive à son droit à l'indemnisation (arrêt du Tribunal fédéral 6B_965/2013 du 3 décembre 2013 consid. 3.1 et 3.3 = SJ 2014 I 228). Le refus d'entrer en matière sur les prétentions en indemnité sans auparavant interpeller les parties plaignantes sur ce point, constitue une violation de l'art. 433 al. 2 CPP et un déni de justice, dans la mesure où le juge aurait pu statuer d'office (arrêt du Tribunal fédéral 6B_1000/2015 du 28 septembre 2016 consid. 4). Dans un arrêt récent, contrairement à ce qui avait été décidé dans un arrêt 6B_1000/2015 du 28 septembre 2016 consid. 4, le Tribunal fédéral a retenu qu'une partie plaignante représentée par un avocat, laquelle demandait dans son mémoire de recours une indemnité, ne pouvait attendre de l'autorité pénale qu'elle l'invite à la chiffrer et à la justifier, dans la mesure où son conseil ne pouvait ignorer la règle de 433 al. 2 CPP (arrêt 6B_1345/2016 du 30 novembre 2017 consid. 7.2). 7.2.6. En outre, lorsque la cause fait l'objet d'une procédure de première instance (art. 328 ss CPP), il résulte du régime légal (cf. supra )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7.2.7. L'indemnité fondée sur l'art. 433 CPP pour les dépenses obligatoires occasionnées par la procédure ne produit pas d'intérêts (arrêt du Tribunal fédéral 6B_47/2017 du 13 décembre 2017 consid. 2.2.4 destiné à la publication).</w:t>
      </w:r>
    </w:p>
    <w:p>
      <w:r>
        <w:rPr>
          <w:b/>
        </w:rPr>
        <w:t>E. 7.3</w:t>
      </w:r>
    </w:p>
    <w:p>
      <w:r>
        <w:t>En l'espèce, l'intimée, qui n'a pas formé appel ni appel joint, a déposé pour la première fois des prétentions en indemnisation au sens de l'art. 433 CPP pour l'intégralité de la procédure dans son mémoire-réponse et conclusions civiles du 27 décembre 2017, soit donc après la clôture des débats de première instance. La question de l'éventuelle péremption de son droit se pose donc, s'agissant de ses frais de défense de première instance. Si la partie plaignante n'a en l'espèce pas, à tort, été formellement interpellée par le juge de première instance, lors de l'audience, sur son droit à déposer de telles prétentions, le mandat de comparution qui lui a été adressé à son domicile mentionnait la teneur de l'art. 433 CPP, ce qui n'était par contre pas le cas de l'avis d'audience destiné à son conseil. La question de savoir si cette seule mention de l'art. 433 CPP dans le mandat susmentionné est suffisante ou non à teneur de la jurisprudence rappelée ci-dessus peut toutefois demeurer ouverte au vu de ce qui suit. Il apparaît en effet que, dans la mesure où seul le prévenu a formé appel, sa situation ne peut être péjorée, en application de l'art. 391 al. 2 CPP ; ce qui serait le cas s'il devait être, au stade de l'appel uniquement, condamné à payer un montant supplémentaire au titre d'indemnité à la partie plaignante pour ses frais de défense en première instance (modification du dispositif). Au vu de ce qui précède, l'intimée est forclose à demander une indemnisation pour lesdits frais de sorte que sa conclusion en ce sens sera rejetée.</w:t>
      </w:r>
    </w:p>
    <w:p>
      <w:r>
        <w:rPr>
          <w:b/>
        </w:rPr>
        <w:t>E. 7.4</w:t>
      </w:r>
    </w:p>
    <w:p>
      <w:r>
        <w:t>Le prévenu ayant été condamné en première et en seconde instance, l'intimée ayant par ailleurs eu gain de cause en appel, une indemnisation lui est due, correspondant à ses frais d'avocat pour la procédure d'appel. En l'espèce, les 4h10 d'activité à compter du jugement de première instance paraissent nécessaires et adéquats pour la défense raisonnable de l'intimée et le tarif horaire de 450.-, se situant dans le tarif usuel du barreau du canton de Genève pour un associé, sera retenu. L'appelant sera ainsi condamné à indemniser la partie plaignante pour les honoraires de son conseil, à hauteur de CHF 2'025.-, correspondant à 4h10 d'activité, au taux horaire de CHF 450.- (CHF 1'875.-), plus TVA à 8% (CHF 150.-), non assortis d'intérêts conformément la jurisprudence susmentionnée.</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saisine.![endif]&gt;![if&gt;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L'art. 16 let. b RAJ prescrit que l'indemnité, en matière pénale, est calculée, pour un collaborateur, selon le tarif horaire de CHF 125.-,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8.2.2. Selon la pratique de la CPAR,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comme la prise de position sur le type de procédure à la CPAR ( AARP/157/2016 du 14 avril 2016 consid. 5.2.3.2 et 5.3). Les écritures plus amplement motivées, comme le mémoire d'appel,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 AARP/184/2016 du 28 avril 2016 consid. 5.3.1, AARP/158/2016 du 22 avril 2016 consid. 6.3 et AARP/525/2015 du 14 décembre 2015 consid. 7.2.2), contrairement au cas où un examen plus poussé s'imposait, notamment aux fins de déterminer l'opportunité d'un recours au plan cantonal ( AARP/184/2016 du 28 avril 2016 consid. 5.3.1 et AARP/158/2016 du 22 avril 2016 consid. 6.3 ). 8.2.3. En l'occurrence, il convient de retrancher les prestations couvertes par la majoration forfaitaire et consistant en la rédaction des courriers à la CPAR, dont l'annonce, la déclaration d'appel et le consentement à la procédure écrite. Sera en plus retranchée 1h30 pour la confection d'un bordereau de pièces, dont certaines déjà présentes à la procédure, et la rédaction de l'appel motivé, les 6h restantes étant en adéquation avec la nature, l'importance et la difficulté de la cause. 8.2.4. L'indemnité de M e Nathalie TORRENT sera ainsi arrêtée à CHF 1'350.- correspondant à 9h d'activité au tarif de CHF 125.-/heure (CHF 1'125.-) plus la majoration forfaitaire de 20 % (CHF 225.-), sans TVA vu son statut de collaboratrice.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