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P/6044/2022 vom 28. November 2023</w:t>
      </w:r>
    </w:p>
    <w:p>
      <w:r>
        <w:t>GE Cour de justice, 2023-11-28, FR</w:t>
      </w:r>
    </w:p>
    <w:p>
      <w:r>
        <w:rPr>
          <w:b/>
        </w:rPr>
        <w:t xml:space="preserve">Quelle: </w:t>
      </w:r>
      <w:r>
        <w:t>https://mcp.opencaselaw.ch/entscheid/ge_gerichte_P_6044_2022</w:t>
      </w:r>
    </w:p>
    <w:p>
      <w:r>
        <w:t>FR: GE_GERICHTE P/6044/2022 du 28 novembre 2023</w:t>
      </w:r>
    </w:p>
    <w:p>
      <w:r>
        <w:t>IT: GE_GERICHTE P/6044/2022 del 28 novembre 2023</w:t>
      </w:r>
    </w:p>
    <w:p>
      <w:pPr>
        <w:pStyle w:val="Heading2"/>
      </w:pPr>
      <w:r>
        <w:t>Regeste</w:t>
      </w:r>
    </w:p>
    <w:p>
      <w:r>
        <w:t>DÉTENTION PROVISOIRE;RISQUE DE COLLUSION;PROPORTIONNALITÉ;PRINCIPE DE LA CÉLÉRITÉ | CPP.221; CPP.237; CPP.5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Les charges n'étant pas discutées par le recourant, il n'y a pas à y revenir mais à renvoyer, en tant que de besoin, à la motivation adoptée par le premier juge (art. 82 al. 4 CPP; ACPR/747/2020 du 22 octobre 2020 consid. 2 et les références).</w:t>
      </w:r>
    </w:p>
    <w:p>
      <w:r>
        <w:rPr>
          <w:b/>
        </w:rPr>
        <w:t>E. 3</w:t>
      </w:r>
    </w:p>
    <w:p>
      <w:r>
        <w:t>Le recourant considère qu'il n'y a pas de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le recourant a certes admis les faits. Il n'a toutefois pas agi seul et le risque de collusion avec ses complices ne disparait pas du seul fait qu'il affirme ne plus être en mesure de les contacter. Son refus de donner leurs noms et de remettre le code d'accès à son téléphone personnel interroge et participe du risque de collusion. Dans ce contexte, son maintien en détention se justifie. Si le matériel saisi par la police, au nombre duquel son téléphone privé, est certes sécurisé, l'analyse de ces données – dont les premiers résultats devraient être prochainement connus – est susceptible de révéler l'identité de tiers, que lui seul connaît. Il convient donc d'éviter qu'il ne puisse préalablement les contacter pour accorder sa version à la leur. L'enquête vise par ailleurs toujours à savoir ce qui est advenu du butin, estimé à tout le moins à CHF 236'901.70, que le recourant aurait – selon ses dires – dépensé essentiellement en jouant au casino.</w:t>
      </w:r>
    </w:p>
    <w:p>
      <w:r>
        <w:rPr>
          <w:b/>
        </w:rPr>
        <w:t>E. 4</w:t>
      </w:r>
    </w:p>
    <w:p>
      <w:r>
        <w:t>Le risque de collusion étant réalisé, l'autorité de recours peut se dispenser d'examiner, en l'état, si un autre risque – alternatif – l'est également (arrêt du Tribunal fédéral 1B_51/2021 du 31 mars 2021 consid. 3.1 et la jurisprudence citée).</w:t>
      </w:r>
    </w:p>
    <w:p>
      <w:r>
        <w:rPr>
          <w:b/>
        </w:rPr>
        <w:t>E. 5</w:t>
      </w:r>
    </w:p>
    <w:p>
      <w:r>
        <w:t>Le recourant estime que le risque de collusion pourrait être pallié par l'interdiction de contacter les personnes identifiées par la police.</w:t>
      </w:r>
    </w:p>
    <w:p>
      <w:r>
        <w:rPr>
          <w:b/>
        </w:rPr>
        <w:t>E. 5.1</w:t>
      </w:r>
    </w:p>
    <w:p>
      <w:r>
        <w:t>Selon le principe de la proportionnalité (art. 36 al. 3 Cst., concrétisé par l'art. 237 al. 1 CPP), le tribunal compétent ordonne une ou plusieurs mesures moins sévères en lieu et place de la détention si elles permettent d'atteindre le même but que la détention, par exemple l'interdiction d'entretenir des relations avec certaines personnes (al. 2 let. g).</w:t>
      </w:r>
    </w:p>
    <w:p>
      <w:r>
        <w:rPr>
          <w:b/>
        </w:rPr>
        <w:t>E. 5.2</w:t>
      </w:r>
    </w:p>
    <w:p>
      <w:r>
        <w:t>La mesure de substitution proposée, sous la forme d'une interdiction d'entrer en contact avec ses éventuels complices, est insuffisante, à ce stade de l'instruction, au regard de l'importance du risque de collusion constaté. Une telle mesure paraît en outre particulièrement difficile à contrôler, compte tenu du nombre des personnes potentiellement concernées – pas encore toutes identifiées –, étant précisé que la jurisprudence n’admet pas d’interdiction généralisée de contacter les tiers, mais impose, au contraire, de désigner des personnes déterminées (arrêts du Tribunal fédéral 1B_485/2019 du 12 novembre 2019 consid. 3.4.2 et 1B_121/2019 du 8 avril 2019 consid. 4.4 ; cf., en matière de bande dont le nom des membres suspectés est tu, ACPR/6/2023 du 4 janvier 2023). Les autres mesures proposées par le recourant n'entrent pas en ligne de compte ici.</w:t>
      </w:r>
    </w:p>
    <w:p>
      <w:r>
        <w:rPr>
          <w:b/>
        </w:rPr>
        <w:t>E. 6</w:t>
      </w:r>
    </w:p>
    <w:p>
      <w:r>
        <w:t>Le recourant se plaint de la violation du principe de célérité.</w:t>
      </w:r>
    </w:p>
    <w:p>
      <w:r>
        <w:rPr>
          <w:b/>
        </w:rPr>
        <w:t>E. 6.1</w:t>
      </w:r>
    </w:p>
    <w:p>
      <w:r>
        <w:t>L'art. 29 al. 1 Cst. dispose que toute personne a droit, dans une procédure judiciaire ou administrative, à ce que sa cause soit traitée équitablement et jugée dans un délai raisonnable. 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137 IV 118 consid. 2.1; 137 IV 92 consid. 3.1 et les arrêts cités). La diligence consacrée à une instruction pénale ne s'apprécie pas seulement à l'aune du nombre ou de la fréquence des audiences d'instruction ( ACPR/339/2020 du 22 mai 2020 consid. 5.2.; ACPR/196/2018 du 4 avril 2018 consid. 5.2.; ACPR/373/2013 du 7 août 2013 consid. 3.3.). On ne saurait ainsi reprocher à l'autorité quelques temps morts, qui sont inévitables dans une procédure. La violation éventuelle du principe de la célérité n'entraîne pas la libération immédiate du détenu lorsque la détention demeure matériellement justifiée (cf. arrêts du Tribunal fédéral 1B_150/2012 du 30 mars 2012 consid. 3.3; 1B_44/2012 consid. 4 et 5).</w:t>
      </w:r>
    </w:p>
    <w:p>
      <w:r>
        <w:rPr>
          <w:b/>
        </w:rPr>
        <w:t>E. 6.2</w:t>
      </w:r>
    </w:p>
    <w:p>
      <w:r>
        <w:t>En l'espèce, la procédure ne viole pas le principe de la célérité. Aucun retard dans la conduite de l'instruction ne peut être reproché au Procureur étant rappelé l'ampleur du matériel électronique à analyser, le refus du recourant de fournir le code d'accès à son téléphone et la peine-menace des infractions retenues contre lui. Les principes jurisprudentiels sus-rappelés étant respectés, le grief du recourant est infondé.</w:t>
      </w:r>
    </w:p>
    <w:p>
      <w:r>
        <w:rPr>
          <w:b/>
        </w:rPr>
        <w:t>E. 7</w:t>
      </w:r>
    </w:p>
    <w:p>
      <w:r>
        <w:t>Le recourant critique la durée de la détention provisoire ordonnée.</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7.2</w:t>
      </w:r>
    </w:p>
    <w:p>
      <w:r>
        <w:t>En l'occurrence, le TMC a ordonné la détention provisoire pour une durée de trois mois pour permettre l'analyse du matériel saisi, identifier et entendre les complices du prévenu et confronter ce dernier au cas D______. La durée de la détention provisoire subie à ce jour n'atteint pas la durée de la peine à laquelle le recourant pourrait concrètement s’exposer, s’il était reconnu coupable des faits qui lui sont reprochés (art. 212 al. 3 CPP), et ne sera pas encore excessive à l'échéance fixée dans la décision querellée. Le délai de la prolongation accordée est nécessaire pour procéder aux actes d'enquête susmentionnés. À cet égard, le Ministère public est invité à faire diligence, après le premier rapport d'analyse annoncé en janvier 2024, pour fixer les premières audiences de confrontation et déterminer si d'autres actes d'instruction nécessiteraient le maintien du recourant en détention, justifiant alors le dépôt d'une requête de prolongation de celle-ci. Le risque de collusion retenu à l'égard du lésé pourra alors être réexaminé, à l'aune des éléments nouvellement recueillis par l'instruction.</w:t>
      </w:r>
    </w:p>
    <w:p>
      <w:r>
        <w:rPr>
          <w:b/>
        </w:rPr>
        <w:t>E. 8</w:t>
      </w:r>
    </w:p>
    <w:p>
      <w:r>
        <w:t>Le recours s'avère ainsi infondé et doit être rejeté.</w:t>
      </w:r>
    </w:p>
    <w:p>
      <w:r>
        <w:rPr>
          <w:b/>
        </w:rPr>
        <w:t>E. 9</w:t>
      </w:r>
    </w:p>
    <w:p>
      <w:r>
        <w:t>Le recourant, qui succombe, supportera les frais envers l'État, qui comprendront un émolument de CHF 1'000.-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