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P/5990/2020 vom 29. April 2020</w:t>
      </w:r>
    </w:p>
    <w:p>
      <w:r>
        <w:t>GE Cour de justice, 2020-04-29, FR</w:t>
      </w:r>
    </w:p>
    <w:p>
      <w:r>
        <w:rPr>
          <w:b/>
        </w:rPr>
        <w:t xml:space="preserve">Quelle: </w:t>
      </w:r>
      <w:r>
        <w:t>https://mcp.opencaselaw.ch/entscheid/ge_gerichte_P_5990_2020</w:t>
      </w:r>
    </w:p>
    <w:p>
      <w:r>
        <w:t>FR: GE_GERICHTE P/5990/2020 du 29 avril 2020</w:t>
      </w:r>
    </w:p>
    <w:p>
      <w:r>
        <w:t>IT: GE_GERICHTE P/5990/2020 del 29 aprile 2020</w:t>
      </w:r>
    </w:p>
    <w:p>
      <w:pPr>
        <w:pStyle w:val="Heading2"/>
      </w:pPr>
      <w:r>
        <w:t>Regeste</w:t>
      </w:r>
    </w:p>
    <w:p>
      <w:r>
        <w:t>RISQUE DE RÉCIDIVE | CPP.221</w:t>
      </w:r>
    </w:p>
    <w:p>
      <w:pPr>
        <w:pStyle w:val="Heading2"/>
      </w:pPr>
      <w:r>
        <w:t>Erwägungen</w:t>
      </w:r>
    </w:p>
    <w:p>
      <w:r>
        <w:rPr>
          <w:b/>
        </w:rPr>
        <w:t>E. 1</w:t>
      </w:r>
    </w:p>
    <w:p>
      <w:r>
        <w:t>Le recours est recevable pour avoir été déposé selon la forme et dans le délai prescrits (art. 91 al. 1,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sérieusement les charges, se bornant à les minimiser. Même sous l'angle des lésions corporelles, elles s'avéreraient suffisantes et compatibles avec la détention provisoire. Il n'y a donc pas à s'attarder davantage sur leur intensité à ce stade de la procédure.</w:t>
      </w:r>
    </w:p>
    <w:p>
      <w:r>
        <w:rPr>
          <w:b/>
        </w:rPr>
        <w:t>E. 3</w:t>
      </w:r>
    </w:p>
    <w:p>
      <w:r>
        <w:t>Le recourant conteste tout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3.2</w:t>
      </w:r>
    </w:p>
    <w:p>
      <w:r>
        <w:t>En l'espèce, quoi qu'en dise le recourant, le risque de réitération est concret et peut se fonder sur des faits précis, notamment sur les antécédents de 2016 et 2018, qui, précisément parce qu'ils apparaissent moins graves que les faits aujourd'hui reprochés, traduisent une forme d'escalade. Le motif apparemment futile du passage à l'acte dénote l'impulsivité, à laquelle l'alcool pourrait avoir concouru. De la situation personnelle du recourant - qui n'a pas justifié d'une réelle possibilité de loger, comme il le prétend, auprès de son père, et encore moins d'une démarche sérieuse et concrète en vue d'un suivi en addictologie -, on comprend que, s'il était libéré, le recourant retrouverait, aussi désoeuvré qu'auparavant, les mêmes conditions de vie que celles qui étaient les siennes avant la commission des actes reprochés et la détention. Assisté d'un défenseur, il ne peut pas sérieusement prétendre, comme il le fait pourtant, qu'il serait notoirement difficile de prendre des initiatives concrètes depuis la prison B______, où il bénéficie aussi d'un service social. S'il était libéré, le recourant, livré à lui-même, vivrait dans le même hôtel que sa victime et aurait toute latitude pour céder à ses apparents penchants alcooliques. Ses protestations de bonne volonté sont insuffisantes. Ces éléments laissent ainsi persister une inquiétude concrète pour la sécurité publique, en cas de libération, et fondent donc un pronostic défavorable.</w:t>
      </w:r>
    </w:p>
    <w:p>
      <w:r>
        <w:rPr>
          <w:b/>
        </w:rPr>
        <w:t>E. 4</w:t>
      </w:r>
    </w:p>
    <w:p>
      <w:r>
        <w:t>Le risque de réitération étant réalisé, il ne sera pas procédé à l'examen du danger de collusion retenu par le premier juge. La Chambre de céans peut, en effet, s'en dispenser lorsqu'une des hypothèses prévues à l'art. 221 al. 1 CP est réalisée (arrêt du Tribunal fédéral 1B_322/2019 du 17 juillet 2019 consid. 3.3 et la jurisprudence citée).</w:t>
      </w:r>
    </w:p>
    <w:p>
      <w:r>
        <w:rPr>
          <w:b/>
        </w:rPr>
        <w:t>E. 5</w:t>
      </w:r>
    </w:p>
    <w:p>
      <w:r>
        <w:t>Le recourant, à juste titre, n'invoque pas de violation du principe de la proportionnalité. La durée de sa détention à ce jour n'atteint pas la durée de la peine à laquelle il s'exposerait concrètement si la qualification juridique des faits la plus grave était retenue contre lui, et l'imminence de la clôture de l'instruction montre que son jugement ne tardera pas.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