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P/5986/2011 vom 13. Juni 2014</w:t>
      </w:r>
    </w:p>
    <w:p>
      <w:r>
        <w:t>GE Cour de justice, 2014-06-13, FR</w:t>
      </w:r>
    </w:p>
    <w:p>
      <w:r>
        <w:rPr>
          <w:b/>
        </w:rPr>
        <w:t xml:space="preserve">Quelle: </w:t>
      </w:r>
      <w:r>
        <w:t>https://mcp.opencaselaw.ch/entscheid/ge_gerichte_P_5986_2011</w:t>
      </w:r>
    </w:p>
    <w:p>
      <w:r>
        <w:t>FR: GE_GERICHTE P/5986/2011 du 13 juin 2014</w:t>
      </w:r>
    </w:p>
    <w:p>
      <w:r>
        <w:t>IT: GE_GERICHTE P/5986/2011 del 13 giugno 2014</w:t>
      </w:r>
    </w:p>
    <w:p>
      <w:pPr>
        <w:pStyle w:val="Heading2"/>
      </w:pPr>
      <w:r>
        <w:t>Regeste</w:t>
      </w:r>
    </w:p>
    <w:p>
      <w:r>
        <w:t>INDEMNITÉ(EN GÉNÉRAL); TORT MORAL | CP.123; CP.126; CPP.126.1.A; CO.49; CPP.433.1.A; CPP.429</w:t>
      </w:r>
    </w:p>
    <w:p>
      <w:pPr>
        <w:pStyle w:val="Heading2"/>
      </w:pPr>
      <w:r>
        <w:t>Erwägungen</w:t>
      </w:r>
    </w:p>
    <w:p>
      <w:r>
        <w:rPr>
          <w:b/>
        </w:rPr>
        <w:t>E. 1</w:t>
      </w:r>
    </w:p>
    <w:p>
      <w:r>
        <w:t>L'appel est recevable pour avoir été interjeté et motivé selon la forme et dans les délais prescrits (art. 398 et 399 PP). Il en va de même de l'appel joint (art. 400 al. 3 let. b et 401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rPr>
          <w:b/>
        </w:rPr>
        <w:t>E. 2.2</w:t>
      </w:r>
    </w:p>
    <w:p>
      <w:r>
        <w:t>L'art. 123 CP réprime les lésions du corps humain ou les atteintes à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2.3</w:t>
      </w:r>
    </w:p>
    <w:p>
      <w:r>
        <w:t>L'appelant ne peut être suivi dans son raisonnement, même s'il est vrai que son discours a été plus constant que celui de l'intimée, ce qui peut s'expliquer par le choc ressenti, quelle que soit la gravité des lésions objectivement subies. Il y a toutefois lieu de retenir que la chute rocambolesque sur le lit décrite par la partie appelante présente une cohérence largement discutable. L'appelant fait grand cas de la différence sémantique entre des rougeurs et des bleus voire de l'inexistence de marques visibles. Il importe peu que les forces de l'ordre n'aient rien remarqué, leur tâche ne consistant pas à établir un constat médical. Face à deux protagonistes avinés dont l'une était assurément fragilisée, la tâche des gendarmes consistait à faire respecter la volonté exprimée par la locataire qui ne voulait plus de la présence de la partie appelante, tenue pour une intruse. Certes, la propre mère de l'intimée n'a pas davantage remarqué la présence de bleus, sinon le lendemain, alors même qu'on peut difficilement la suspecter de ne pas protéger sa fille, mais l'époux de l'intimée a en revanche observé des marques bleues, ce qui suffit à corroborer la force probante du certificat médical délivré deux jours plus tard et par là-même exclut l'hypothèse d'un geste auto agressif intervenu dans l'intervalle. La réalité des lésions est dûment constatée par le certificat médical, nonobstant leur qualification qui peut revêtir une autre forme (les " marques rouges" ou les "ecchymoses" ) que celle du langage de tous les jours (des "bleus" ou des " marques bleues" ). Leur localisation valide le récit de l'intimée, les lésions ayant été dûment constatées des deux côtés du cou, ce qui est la caractéristique d'une manœuvre de strangulation, fût-elle de courte durée et uniquement tentée, avec les mains ou avec les jambes de la manière décrite par l'intimée. De surcroît, la fragilité psychique de l'intimée ne doit pas faire oublier les symptômes de stress relevés par le médecin psychiatre qu'a consulté l'intimée. Ces signes revêtaient à ses yeux une cohérence interne et la tendance à l'exagération a été niée par ce praticien, l'époux de l'intimée (quoiqu'avec des nuances) et l'appelant lui-même, sous la réserve de son état dépressif. L'absence de comportement violent dont a témoigné l'épouse de la partie appelante n'est pas de nature à modifier la perception de la réalité telle qu'elle découle des témoignages et observations médicales, dans la mesure où une situation de frustration ou de rejet est susceptible, chez tout être humain, de provoquer une réaction sortant de l'ordinaire, surtout sous l'effet de l'alcool. Les ecchymoses constatées par certificat médical correspondent à des lésions corporelles qui ne peuvent être qualifiées de peu de gravité, au regard de leurs effets dépassant le trouble passager, référence étant faite ici à l'hospitalisation subie par l'intimée suite à l'épisode du 19 février 2011. Le jugement du Tribunal de police sera ainsi confirmé sur ce point, à l'instar de la quotité de la peine, qui n'a pas été contestée en tant que telle devant la juridiction d'appel. En tout état, celle-là consacre une application correcte des art. 34, 42, 46 et 47 CP.</w:t>
      </w:r>
    </w:p>
    <w:p>
      <w:r>
        <w:rPr>
          <w:b/>
        </w:rPr>
        <w:t>E. 3</w:t>
      </w:r>
    </w:p>
    <w:p>
      <w:r>
        <w:t>3.1.1 L'appelante jointe conclut à l'annulation de la décision par laquelle le condamné a été astreint au paiement de CHF 1'000.- à titre d'indemnité équitable pour le tort moral subi, qu'elle souhaite porter à CHF 5'000.-, plus intérêts à 5% depuis le 19 février 2011. L'appelant principal conclut pour sa part au rejet des conclusions civiles prises par la partie plaignante.![endif]&gt;![if&gt; 3.1.2 En vertu de l'art. 126 al. 1 let. a CPP, le tribunal statue sur les conclusions civiles présentées lorsqu’il rend un verdict de culpabilité à l’encontre du prévenu. 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(ATF 125 III 269 consid. 2a p. 273 ; ATF 118 II 410 consid. 2 p. 413 ; arrêt du Tribunal fédéral 6S.470/2002 ).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3.1.3 En l'espèce, s'agissant du tort moral, le constat médical du 21 février 2011 fait état d'ecchymoses, ce qui est en soi insuffisant pour faire naître un droit à une réparation. Il n'en va pas de même de l'appréciation du médecin psychiatre rattaché à l'Unité de médecine de prévention de la violence qui a validé la réalité des répercussions psychiques (symptômes de stress aigu voire troubles de l'adaptation) sur la partie plaignante, de sorte que le principe d'une indemnité pour tort moral doit être tenu pour acquis. Ce n'est pas pour autant qu'il faut répondre favorablement à son appel joint. Si les conséquences négatives de l'agression subie ne sont pas contestables, notamment quant aux répercussions psychiques, il est difficile de les différencier de l'état général de la partie plaignante. Celle-ci était de constitution fragile avant l'épisode malheureux du 19 février 2011. Sans aller jusqu'à prétendre qu'elle était névrosée, comme l'affirme péremptoirement l'appelant principal sur la seule base de son appréciation subjective, il est juste d'observer que la partie plaignante était aux prises avec des difficultés personnelles antérieures au 19 février 2011, sans qu'il ne soit possible d'en évaluer la portée dans l'effondrement psychique consécutif aux faits dénoncés. Un lien de causalité peut être retenu, sans que son ampleur puisse être déterminée, trop d'inconnues faisant obstacle à une indemnisation supérieure à celle fixée par les premiers juges. La juridiction d'appel ne saurait pour ces motifs réformer le jugement sur ce point. L'appelante jointe et l'appelant principal seront donc déboutés de leurs conclusions respectives sur ce point.</w:t>
      </w:r>
    </w:p>
    <w:p>
      <w:r>
        <w:rPr>
          <w:b/>
        </w:rPr>
        <w:t>E. 4</w:t>
      </w:r>
    </w:p>
    <w:p>
      <w:r>
        <w:t>4.1.1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CPP.![endif]&gt;![if&gt;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 Bâle 2011, n. 12 ad art. 433 CPP ; N. SCHMID, Schweizerische Strafprozessordnung, Praxiskommentar , 2 e éd. Zürich 2013, n. 9 et 10 ad art. 433 CPP; A. KUHN / Y. JEANNERET (éds), Commentaire romand : Code de procédure pénale suisse , Bâle 2011, n. 13 ad . art. 433). Selon l'art. 4 al. 1 de la loi fédérale sur l’aide aux victimes d’infractions, du 23 mars 2007 (LAVI ; RS 312.5), les prestations d'aide aux victimes ne sont accordées définitivement que lorsque l'auteur de l'infraction ou un autre débiteur ne versent aucune prestation ou ne versent que des prestations insuffisantes. Cette aide est dès lors subsidiaire et n'est accordée définitivement que lorsque l'auteur de l'infraction ou un autre débiteur (assurances sociales et privées notamment) ne versent aucune prestation ou ne versent que des prestations insuffisantes (A. KUHN / Y. JEANNERET (éds), op. cit ., n. 20 ad art. 433 CPP). 4.1.2 L'intimée et appelante jointe a produit une note d'honoraires totalisant un peu plus de CHF 3'500.- à laquelle un time-sheet détaillé est joint. Les quelques 25 heures d'activité, dont près des deux tiers par un avocat-stagiaire, doivent être tenues pour adaptées au regard des particularités de l'instruction menée par le Ministère public. Il convient toutefois de tenir compte du fait que la partie plaignante, qui obtient gain de cause sur le volet pénal de la procédure, succombe partiellement sur le plan civil, ses prétentions supplémentaires en indemnisation fondées sur l'art. 49 CO ayant été rejetées. Le montant des honoraires sera ainsi ramené, calculé en chiffre rond, à CHF 2'379.-, soit les deux tiers du montant initial des honoraires. Le complément pourra cas échéant être versé par l'instance LAVI si l'intimée l'estime justifié.</w:t>
      </w:r>
    </w:p>
    <w:p>
      <w:r>
        <w:rPr>
          <w:b/>
        </w:rPr>
        <w:t>E. 4.2</w:t>
      </w:r>
    </w:p>
    <w:p>
      <w:r>
        <w:t>L'appelant principal conclut à ce que l'intimée soit condamnée à lui payer la somme de CHF 10'435.-, correspondant à ses honoraires d'avocat pour la procédure avant l'appel. L'art. 429 CPP, applicable aux voies de recours en vertu de l'art. 436 al. 1 CPP, ne prévoit une indemnisation du prévenu pour les dépenses occasionnées par l'exercice raisonnable de ses droits de procédure (let. a) qu'en cas d'acquittement, fût-il partiel. Tel n'est pas le cas en l'espèce, de sorte que l'appelant principal sera débouté de ses conclusions sur ce point.</w:t>
      </w:r>
    </w:p>
    <w:p>
      <w:r>
        <w:rPr>
          <w:b/>
        </w:rPr>
        <w:t>E. 5</w:t>
      </w:r>
    </w:p>
    <w:p>
      <w:r>
        <w:t>L'appelant principal et l'appelante jointe, qui succombent, supporteront les frais de la procédure envers l'État, respectivement à raison de trois quarts et d'un quart, lesquels comprennent une indemnité de procédure de CHF 2'000.- (art. 428 CPP et art. 14 al. 1 let. c du règlement fixant le tarif des frais en matière pénale,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