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P/5958/2019 vom 6. Januar 2020</w:t>
      </w:r>
    </w:p>
    <w:p>
      <w:r>
        <w:t>GE Cour de justice, 2020-01-06, FR</w:t>
      </w:r>
    </w:p>
    <w:p>
      <w:r>
        <w:rPr>
          <w:b/>
        </w:rPr>
        <w:t xml:space="preserve">Quelle: </w:t>
      </w:r>
      <w:r>
        <w:t>https://mcp.opencaselaw.ch/entscheid/ge_gerichte_P_5958_2019</w:t>
      </w:r>
    </w:p>
    <w:p>
      <w:r>
        <w:t>FR: GE_GERICHTE P/5958/2019 du 6 janvier 2020</w:t>
      </w:r>
    </w:p>
    <w:p>
      <w:r>
        <w:t>IT: GE_GERICHTE P/5958/2019 del 6 gennaio 2020</w:t>
      </w:r>
    </w:p>
    <w:p>
      <w:pPr>
        <w:pStyle w:val="Heading2"/>
      </w:pPr>
      <w:r>
        <w:t>Regeste</w:t>
      </w:r>
    </w:p>
    <w:p>
      <w:r>
        <w:t>DÉFENSE D'OFFICE;COMPLEXITÉ DE LA PROCÉDURE;IVRESSE</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En l'espèce, la question de l'indigence - qui n'a pas été examinée par le Ministère public malgré les informations données par le recourant sur sa situation personnelle - peut demeurer ouverte au vu de l'issue du recours.</w:t>
      </w:r>
    </w:p>
    <w:p>
      <w:r>
        <w:rPr>
          <w:b/>
        </w:rPr>
        <w:t>E. 3.2</w:t>
      </w:r>
    </w:p>
    <w:p>
      <w:r>
        <w:t>Le recourant ne peut en effet pas prétendre à l'assistance d'un défenseur pour sauvegarder ses intérêts.</w:t>
      </w:r>
    </w:p>
    <w:p>
      <w:r>
        <w:rPr>
          <w:b/>
        </w:rPr>
        <w:t>E. 3.2.1</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w:t>
      </w:r>
    </w:p>
    <w:p>
      <w:r>
        <w:rPr>
          <w:b/>
        </w:rPr>
        <w:t>E. 3.2.2</w:t>
      </w:r>
    </w:p>
    <w:p>
      <w:r>
        <w:t>En tout état de cause, une affaire n'est pas de peu de gravité lorsque le prévenu est passible d'une peine privative de liberté de plus de 4 mois ou d'une peine pécuniaire de plus de 120 jours-amende (art. 132 al. 3 CPP). 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 2 ème éd., Bâle 2019, n. 64 ad art. 132).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 arrêt 1B_450/2016 du 1er décembre 2016 consid. 3). En revanche, s'il n'encourt qu'une amende ou une peine privative de liberté de courte durée, de telle sorte que l'on puisse parler d'un cas bagatelle, le prévenu n'a pas de droit constitutionnel à la désignation d'un défenseur d'office gratuit (arrêt du Tribunal fédéral 6B_304/2007 du 15 août 2007 consid. 5.2 ; ATF 120 Ia 43 consid. 2a; arrêt du Tribunal fédéral 1P_80/2000 du 29 septembre 2000 consid. 2b ; ACPR/95/2014 du 11 février 2014 consid. 4.1).</w:t>
      </w:r>
    </w:p>
    <w:p>
      <w:r>
        <w:rPr>
          <w:b/>
        </w:rPr>
        <w:t>E. 3.2.3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3.3</w:t>
      </w:r>
    </w:p>
    <w:p>
      <w:r>
        <w:t>En l'espèce, le Ministère public a condamné le recourant, par ordonnance pénale frappée d'opposition, à une peine privative de liberté de 90 jours-amende. Même si l'on tient compte d'un risque d'aggravation de la peine par le Tribunal de police si le Ministère public maintient son ordonnance pénale, force est de constater que le recourant reste, en dépit de ses antécédents judiciaires, concrètement passible d'une peine bien moins élevée que celle au-delà de laquelle on peut considérer que l'affaire n'est pas de peu de gravité selon l'art. 132 al. 3 CPP. La révocation du sursis accordé par les autorités bernoises le 15 août 2016 - pour une peine pécuniaire de 20 jours-amende - apparaît peu vraisemblable, le Ministère public genevois y ayant expressément renoncé. Mais, même dans cette hypothèse, la peine resterait en-deçà de la limite légale susmentionnée. La cause étant de peu de gravité, la première des deux conditions cumulatives fait ainsi défaut, ce qui permettrait de rejeter le recours pour ce motif déjà. L'examen des circonstances du cas d'espèce permet en outre de retenir que la cause ne présente pas de difficultés particulières, du point de vue de l'établissement des faits ou des questions juridiques soulevées, que le recourant ne serait pas en mesure de résoudre seul. Les faits et dispositions légales applicables sont clairement circonscrits et ne présentent aucune difficulté de compréhension ou d'application. Le recourant a d'ailleurs été en mesure de répondre aux policiers. C'est à tort qu'il soutient que l'assistance d'un avocat serait nécessaire car il devrait démontrer des " éléments factuels nécessitant des connaissances techniques sur le plan juridique (éléments constitutifs subjectifs de l'infraction en lien avec la notion de complicité, taux d'ébriété qualifiée, etc.) ". Il est en mesure d'expliquer, seul, qu'il n'avait connaissance ni de l'état d'ébriété de la personne à laquelle il a remis les clés du véhicule, ni du fait qu'elle ne disposait pas d'un permis de conduire. Ce sont de pures questions de fait, bien délimitées. Le taux d'alcoolémie n'est pas le sien, mais celui de son co-prévenu - qui ne paraît pas, à teneur du dossier remis à la Chambre de céans, avoir formé opposition à l'ordonnance pénale prononcée contre lui -, et le recourant n'explique pas en quoi le résultat de l'éthylomètre serait litigieux. Partant, la condition de la complexité de la procédure n'étant pas réalisée, l'art. 132 al. 2 CPP ne trouve pas application.</w:t>
      </w:r>
    </w:p>
    <w:p>
      <w:r>
        <w:rPr>
          <w:b/>
        </w:rPr>
        <w:t>E. 4</w:t>
      </w:r>
    </w:p>
    <w:p>
      <w:r>
        <w:t>Justifiée, l'ordonnance querellée sera donc confirmée.</w:t>
      </w:r>
    </w:p>
    <w:p>
      <w:r>
        <w:rPr>
          <w:b/>
        </w:rPr>
        <w:t>E. 5</w:t>
      </w:r>
    </w:p>
    <w:p>
      <w:r>
        <w:t>Les frais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