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P/5950/2021 vom 22. März 2021</w:t>
      </w:r>
    </w:p>
    <w:p>
      <w:r>
        <w:t>GE Cour de justice, 2021-03-22, FR</w:t>
      </w:r>
    </w:p>
    <w:p>
      <w:r>
        <w:rPr>
          <w:b/>
        </w:rPr>
        <w:t xml:space="preserve">Quelle: </w:t>
      </w:r>
      <w:r>
        <w:t>https://mcp.opencaselaw.ch/entscheid/ge_gerichte_P_5950_2021</w:t>
      </w:r>
    </w:p>
    <w:p>
      <w:r>
        <w:t>FR: GE_GERICHTE P/5950/2021 du 22 mars 2021</w:t>
      </w:r>
    </w:p>
    <w:p>
      <w:r>
        <w:t>IT: GE_GERICHTE P/5950/2021 del 22 marzo 2021</w:t>
      </w:r>
    </w:p>
    <w:p>
      <w:pPr>
        <w:pStyle w:val="Heading2"/>
      </w:pPr>
      <w:r>
        <w:t>Regeste</w:t>
      </w:r>
    </w:p>
    <w:p>
      <w:r>
        <w:t>SOUPCONS | CPP.310; CP.146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estime avoir mis en évidence des soupçons fondés d'escroquerie, justifiant la poursuite de la procédure (art. 146 CP).</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(ATF 143 IV 241 consid. 2.2.2 p. 243 et les arrêts cités; arrêt 6B_1177/2017 du 16 avril 2018 consid. 2.1). En amont, une telle configuration exclut aussi, en principe, une décision de non-entrée en matière.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Suivant les circonstances, les mêmes motifs peuvent aussi permettre, en particulier si la crédibilité de la partie plaignante est d'emblée remise en question par des éléments manifestement probants, de rendre une décision de non-entrée en matière.</w:t>
      </w:r>
    </w:p>
    <w:p>
      <w:r>
        <w:rPr>
          <w:b/>
        </w:rPr>
        <w:t>E. 2.2</w:t>
      </w:r>
    </w:p>
    <w:p>
      <w:r>
        <w:t>En l'espèce, si la parole de la recourante s'oppose a priori à celle de sa fille, s'agissant de l'usurpation de l'identité de la première par la seconde, il y a lieu de se fonder sur la constance et la crédibilité des déclarations des parties, d'une part, et, d'autre part, sur les circonstances ayant entouré les faits dénoncés. Ainsi, l'exposé de la recourante est constant, crédible et étayé par des éléments connexes, notamment le commandement de payer notifié à son nom à l'adresse de sa fille, qui renforcent sa position alors que la position de la mise en cause n'est pas claire, notamment lorsqu'elle admet devoir payer pour un bien qu'elle n'aurait pas commandé et alors qu'elle se trouve dans une impécuniosité évidente. Dès lors, il paraît nécessaire de clarifier les circonstances du cas d'espèce et d'instruire la présente cause, notamment en confrontant les parties, voire en ordonnant l'apport du message vocal que la recourante allègue avoir reçu de sa fille. Il n'y a aucun élément qui permettrait sans équivoque, au stade initial de la procédure et en l'absence d'instruction, de dénier tout crédit aux déclarations de la recourante ou même de leur conférer un crédit moindre qu'à celles de sa fille. Dans ces circonstances, le Ministère public ne pouvait admettre que les conditions d'une non-entrée en matière, telles que rappelées plus haut, étaient remplies, face à un faisceau d'indices donnant crédit aux accusations de la recourante. Ce qu'articule cette dernière, certes dans une formulation peu juridique, doit être apprécié sous l'angle du principe " in dubio pro duriore " et s'avère par conséquent fondé. Le recours doit dès lors être admis et la cause renvoyée au Ministère public afin qu'il ordonne l'ouverture d'une instruction, la référence de ce dernier à une jurisprudence concernant des rapports de voisinage ne s'appliquant pas au cas d'espèce (ATF 1B_267/2011 ).</w:t>
      </w:r>
    </w:p>
    <w:p>
      <w:r>
        <w:rPr>
          <w:b/>
        </w:rPr>
        <w:t>E. 3</w:t>
      </w:r>
    </w:p>
    <w:p>
      <w:r>
        <w:t>L'admission du recours ne donne pas lieu à la perception de frais (art. 428 al. 1 CPP). La recourante, qui obtient gain de cause, comparait en personne, de sorte qu'aucune indemnité n'est due. Les sûretés lui seront restituées.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