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P/5945/2019 vom 29. Juni 2020</w:t>
      </w:r>
    </w:p>
    <w:p>
      <w:r>
        <w:t>GE Cour de justice, 2020-06-29, FR</w:t>
      </w:r>
    </w:p>
    <w:p>
      <w:r>
        <w:rPr>
          <w:b/>
        </w:rPr>
        <w:t xml:space="preserve">Quelle: </w:t>
      </w:r>
      <w:r>
        <w:t>https://mcp.opencaselaw.ch/entscheid/ge_gerichte_P_5945_2019</w:t>
      </w:r>
    </w:p>
    <w:p>
      <w:r>
        <w:t>FR: GE_GERICHTE P/5945/2019 du 29 juin 2020</w:t>
      </w:r>
    </w:p>
    <w:p>
      <w:r>
        <w:t>IT: GE_GERICHTE P/5945/2019 del 29 giugno 2020</w:t>
      </w:r>
    </w:p>
    <w:p>
      <w:pPr>
        <w:pStyle w:val="Heading2"/>
      </w:pPr>
      <w:r>
        <w:t>Regeste</w:t>
      </w:r>
    </w:p>
    <w:p>
      <w:r>
        <w:t>VIOLENCE CONTRE LES AUTORITÉS | CP.285</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L'art. 285 ch. 1 CP punit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Selon la première variante de l'art. 285 ch. 1 CP, l'auteur empêche, par la violence ou la menace, l'autorité ou le fonctionnaire de faire un acte entrant dans ses fonctions. Il importe peu que la résistance soit couronnée de succès et que l'empêchement soit absolu : il suffit qu'il soit entravé de telle manière qu'il ne puisse être accompli comme prévu ou qu'il soit rendu plus difficile pour réaliser l'élément objectif de l'empêchement (ATF 133 IV 97 consid. 4.2 p. 100 et consid 5.2 p. 102 ad art. 286 CP ; 120 IV 136 consid. 2a p. 139 ; arrêts du Tribunal fédéral 6B_1009/2014 du 2 avril 2015 consid. 5.1.1 et 6B_659/2013 du 4 novembre 2013 consid. 1.1). Par violence, on entend ordinairement une action physique de l'auteur sur la personne du fonctionnaire. L'usage de la violence doit revêtir une certaine gravité ; une petite bousculade ne saurait suffire (B. CORBOZ, Les infractions en droit suisse , 3 e éd., Berne 2010, n. 4 ad art. 285 et n. 3 ad art. 181 CP). Selon la jurisprudence,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p. 44). La menace correspond à celle de l'art. 181 CP, même s'il n'est pas précisé qu'elle doit porter sur un dommage sérieux (arrêt du Tribunal fédéral 6B_257/2010 du 5 octobre 2010 consid. 5.1 ; B. CORBOZ, op. cit. , n. 5 ad art. 285 CP). Quand bien même les policiers sont peut-être plus habitués que d'autres fonctionnaires à traiter avec des personnes opposantes (« renitent » ), cela ne permet pas de réduire la protection pénale dont ils bénéficient par l'art. 285 CP. Pour retenir une infraction, il suffit donc que les propos tenus soient suffisamment menaçants pour qu'un fonctionnaire raisonnable (« einen besonnenen Beamten ») puisse être subjugué. Tel est notamment le cas lorsqu'un prévenu menace un policier de « le retrouver dans la rue » (arrêt du Tribunal fédéral 6B_320/2019 du 27 août 2019, consid. 5).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CP). Selon la deuxième variante, l'auteur se livre à des voies de fait sur une autorité, un membre d'une autorité ou un fonctionnaire pendant qu'ils procèdent à un acte entrant dans leurs fonctions. Le membre de l'autorité ou le fonctionnaire agit en cette qualité dans le cadre de sa mission officielle et c'est en raison de cette activité que l'auteur se livre à des voies de fait sur lui. Le but poursuivi est sans pertinence. Il n'est donc pas exigé que l'auteur essaie d'empêcher l'acte officiel (arrêt du Tribunal fédéral 6B_1191/2019 du 4 décembre 2019 consid. 3.1 et références citées). La notion de voies de fait est la même que celle figurant à l'art. 126 CP. Celles-ci se définissent comme des atteintes physiques qui excèdent ce qui est toléré selon l'usage courant et les habitudes sociales et qui ne causent ni lésions corporelles, ni dommage à la santé. Une telle atteinte peut exister même si elle n'a causé aucune douleur physique (ATF 134 IV 189 consid. 1.2 p. 191). Les voies de fait au sens de l'art. 285 CP doivent revêtir une certaine intensité. L'intensité de la violence doit être analysée selon les circonstances concrètes; peu importe dès lors que l'auteur emploie ses mains, ses pieds ou un objet (B. CORBOZ, op. cit. , n. 10 s. ad art. 126 CP). De même que l'acte de violence, elles supposent un net déploiement de force (arrêt du Tribunal fédéral 6B_257/2010 du 5 octobre 2010 consid. 5.1.2 et les références citées). Le fait de provoquer une situation manifestement inconfortable pour la personne visée, à l'exemple d'un crachat, est toutefois suffisant (arrêt du Tribunal fédéral 6B_1191/2019 du 4 décembre 2019 consid. 3.1 et les références citées), de même que celui de se débattre, lorsque la lutte qu'il implique revêt une intensité excédant la simple bousculade (arrêts du Tribunal fédéral 6B_63/2014 du 5 février 2015 consid. 4.3 et 6P.129/2005 du 19 janvier 2006 consid. 7). L'infraction est intentionnelle, le dol éventuel suffit (DUPUIS et al., Petit commentaire du CP, op. cit., vol. II, n° 22 ad art. 285 CP). En revanche, une simple tentative de voie de fait ne suffit pas à réaliser l'infraction (M. DUPUIS / L. MOREILLON / C. PIGUET / S. BERGER / M. MAZOU / V. RODIGARI (éds), Code pénal - Petit commentaire , 2 e éd., Bâle 2017, n. 13 ad art. 285).</w:t>
      </w:r>
    </w:p>
    <w:p>
      <w:r>
        <w:rPr>
          <w:b/>
        </w:rPr>
        <w:t>E. 2.2</w:t>
      </w:r>
    </w:p>
    <w:p>
      <w:r>
        <w:t>Une interprétation littérale du lien temporel existant à l'art. 285 CP conduirait à des résultats choquant et reviendrait à sortir du champ de cette disposition. Il suffit, en fonction de la ratio legis , que la violence soit motivée par l'acte officiel et qu'elle se produise immédiatement sans qu'il y ait à examiner à quel moment l'acte officiel doit être tenu pour accompli (arrêt du Tribunal fédéral 6B_863/2015 du 15 mars 2016 = SJ 2017 I p. 85, 87 ; B. CORBOZ, op. cit. , N. 17 ad art. 285 CP).</w:t>
      </w:r>
    </w:p>
    <w:p>
      <w:r>
        <w:rPr>
          <w:b/>
        </w:rPr>
        <w:t>E. 2.3</w:t>
      </w:r>
    </w:p>
    <w:p>
      <w:r>
        <w:t>L'art. 286 CP vise celui qui aura empêché une autorité, un membre d'une autorité ou un fonctionnaire d'accomplir un acte entrant dans ses fonctions. L'art. 285 définit une forme qualifiée de l'infraction prévue à l'art. 286 CP. L'emploi de la violence ou de la menace distingue donc ses deux dispositions (arrêt du Tribunal fédéral 6B_333/2011 du 27 octobre 2011 consid. 2.2.1 ; ATF 120 IV 136 consid. 2a).</w:t>
      </w:r>
    </w:p>
    <w:p>
      <w:r>
        <w:rPr>
          <w:b/>
        </w:rPr>
        <w:t>E. 2.4</w:t>
      </w:r>
    </w:p>
    <w:p>
      <w:r>
        <w:t>En l'espèce, il est établi que, au vu de son attitude provocante et suite à son refus réitéré de coopérer, soit de se déshabiller, d'être fouillé et de passer la tunique anti-suicide, quatre agents ont amené l'appelant au sol, les agents G______ et H______ ayant dû procéder à une clé d'épaule à cette fin. Cela fait, l'appelant s'est fortement débattu et a proféré des menaces de mort à leur égard, ce qui a nécessité l'intervention supplémentaire de l'agente D______ pour effectuer un contrôle des jambes, moment auquel l'appelant a violemment levé sa jambe, faisant perdre l'équilibre à cette dernière, si bien que l'action rapide de l'agent F______ a été nécessaire pour le maintenir. Le Sous-Chef E______ a également dû intervenir pour aider les cinq autres agents sur place à maîtriser, avec passage de menottes et mise en position latérale de sécurité, et déshabiller l'appelant. Plus tard, les surveillants ont une nouvelle fois dû faire usage de contrainte pour maîtriser l'appelant au moment de lui passer la tunique anti-suicide à l'UHPP. Une injection sous contrainte a encore été nécessaire sur demande du médecin de l'UHPP, l'appelant ne cessant de proférer des menaces à l'encontre du personnel pénitentiaire, ce qui démontre que ce dernier était loin d'être calme au moment des faits. Il sera relevé que, de ses propres aveux, l'appelant a laissé échapper sa haine et sa colère à l'encontre du personnel pénitentiaire, ce qui démontre que son comportement à son égard était d'une violence certaine. Conformément à la jurisprudence, une interprétation étroite du rapport temporel reviendrait à sortir du champ d'application de l'art. 285 CP. Dès lors, et contrairement à la thèse de l'appelant, l'acte officiel à prendre en considération n'est pas seulement la décision ayant consisté à amener l'appelant au sol et à le dévêtir par la force, lequel a effectivement précédé les menaces proférées et la violence déployée par celui-ci, mais l'ensemble de la manoeuvre, impliquant notamment l'action en sus de l'agente D______, puis de l'agent F______ pour effectuer un contrôle de jambes, ainsi que l'intervention supplémentaire du Sous-Chef E______ - interventions qui ont été nécessaires en raison du comportement de l'appelant. Aussi, en se débattant violemment alors qu'il était au sol, obligeant l'agente D______ à venir en aide à ses collègues pour effectuer un contrôle de jambe, puis repoussant violemment cette dernière, amenant l'agent F______ et le Sous-Chef E______ à intervenir à leur tour, les contraignant à user de la force pour tenter de le maîtriser, lui mettre les menottes, lui enlever de force ses habits et même les découper, et en proférant de nombreuses menaces de mort à leur égard, l'appelant a-t-il usé de violence et de menaces à l'encontre de fonctionnaires. Par son comportement, il a rendu plus difficile pour ces derniers l'accomplissement d'un acte entrant dans leurs fonctions, à savoir la fouille de sa personne et le passage à la tunique anti-suicide, actes qui auraient pu être effectués avec moins de difficulté si les agents avaient eu plus de liberté d'action, soit si l'appelant ne s'était pas opposé aussi vigoureusement tant physiquement que par la violence de ses propos. Il convient dès lors de considérer que la résistance de l'appelant a largement dépassé le comportement passif réprimé par l'art. 286 CP, et que non seulement la première variante de l'art. 285 ch. 1 CP est réalisée mais également la seconde. En effet, au vu des éléments qui précèdent, il sera retenu que la violence déployée, en particulier le geste de jambe faisant perdre l'équilibre à l'agente D______, a atteint un degré suffisant pour retenir l'existence de voies de fait, justifiant ici aussi l'application de la forme qualifiée de l'art. 285 CP. L'appelant sera ainsi reconnu coupable d'infraction à l'art. 285 CP, l'appel étant rejeté sur ce point.</w:t>
      </w:r>
    </w:p>
    <w:p>
      <w:r>
        <w:rPr>
          <w:b/>
        </w:rPr>
        <w:t>E. 3</w:t>
      </w:r>
    </w:p>
    <w:p>
      <w:r>
        <w:t>3.1. L'infraction à l'art. 285 CP est passible d'une peine privative de liberté de trois ans au plus ou d'une peine pécuniaire.</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w:t>
      </w:r>
    </w:p>
    <w:p>
      <w:r>
        <w:rPr>
          <w:b/>
        </w:rPr>
        <w:t>E. 3.3</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4 ème éd., Bâle 2019,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w:t>
      </w:r>
    </w:p>
    <w:p>
      <w:r>
        <w:rPr>
          <w:b/>
        </w:rPr>
        <w:t>E. 3.4</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142 IV 265 consid. 2.3.3 p. 268 ; 141 IV 61 consid. 6.1.2 p. 67 ; 138 IV 113 consid. 3.4.1 p. 115 et les références citées).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137 IV 57 consid. 4.3.1).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 ATF 138 IV 113 consid. 3.4.1 et les références). Il doit s'agir de peines de même genre (ATF 142 IV 265 consid. 2.3.2 et les références = JdT 2017 IV 129).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 J. FRANCEY, Le concours rétrospectif (art. 49 al. 2 CP) , in LawInside, 31 août 2016, http://www.lawinside.ch/304/ [31.01.17]). Concrètement, le juge se demande d'abord quelle peine d'ensemble aurait été prononcée si toutes les infractions avaient été jugées simultanément. La peine complémentaire est constituée de la différence entre cette peine d'ensemble et la peine de base, à savoir celle prononcée précédemment (ATF 141 IV 61 consid. 6.1.2 ; arrêt du Tribunal fédéral 6B_623/2016 du 25 avril 2017 consid. 1.1 et 1.4). Il faut distinguer l'hypothèse où la peine de base contient l'infraction la plus grave de celle où ce sont les nouveaux actes à juger qui la contiennent. Dans le premier cas, il convient, dans un premier temps, d'augmenter la peine de base dans une juste proportion en raison des différentes peines des nouvelles infractions à juger. Dans un second temps, on déduit la peine de base de la peine d'ensemble hypothétique ce qui donne la peine complémentaire. Dans la seconde hypothèse, c'est la peine à prononcer pour les nouvelles infractions qui doit être augmentée, dans une juste proportion, de la peine de base. La diminution de la peine de base entrée en force, résultant de l'application du principe de l'aggravation, doit être déduite de la peine à prononcer pour les nouvelles infractions et constitue la peine complémentaire (ATF 142 IV 329 consid. 2.4.4 = JdT 2017 IV 221).</w:t>
      </w:r>
    </w:p>
    <w:p>
      <w:r>
        <w:rPr>
          <w:b/>
        </w:rPr>
        <w:t>E. 3.5</w:t>
      </w:r>
    </w:p>
    <w:p>
      <w:r>
        <w:t>Le juge peut prononcer une peine privative de liberté à la place d'une peine pécuniaire si une peine privative de liberté paraît justifiée pour détourner l'auteur d'autres crimes ou délits (art. 41 al. 1 let. a) ou s'il y a lieu de craindre qu'une peine pécuniaire ne puisse pas être exécutée (let. b).</w:t>
      </w:r>
    </w:p>
    <w:p>
      <w:r>
        <w:rPr>
          <w:b/>
        </w:rPr>
        <w:t>E. 3.6</w:t>
      </w:r>
    </w:p>
    <w:p>
      <w:r>
        <w:t>Le juge suspend en règle générale l'exécution d'une peine pécuniaire ou d'une peine privative de liberté de deux ans au plus lorsqu'une peine ferme ne paraît pas nécessaire pour détourner l'auteur d'autres crimes ou délits (art. 42 al. 1 CP). Si, durant les cinq ans qui précèdent l'infraction, l'auteur a été condamné à une peine privative de liberté ferme ou avec sursis de plus de six mois, il ne peut y avoir de sursis à l'exécution de la peine qu'en cas de circonstances particulièrement favorables (al. 2).</w:t>
      </w:r>
    </w:p>
    <w:p>
      <w:r>
        <w:rPr>
          <w:b/>
        </w:rPr>
        <w:t>E. 3.7</w:t>
      </w:r>
    </w:p>
    <w:p>
      <w:r>
        <w:t>En l'occurrence, ainsi que l'a rappelé le premier juge, la faute de l'appelant est d'une importance certaine. Il a sciemment cherché à entraver la bonne marche de l'Etablissement pénitentiaire B______. Les moyens utilisés à cette fin sont loin d'être anodins, dès lors qu'il n'a pas hésité à menacer de mort le personnel pénitentiaire à plusieurs reprises, en se référant notamment à une actualité dramatique - les attentats du Bataclan - ainsi qu'à se débattre violemment, acceptant de la sorte le risque de blesser quelqu'un. La responsabilité est pleine et entière, aucun élément du dossier ne laissant penser le contraire et l'appelant n'ayant au demeurant rien allégué à cet égard. Il ressort au contraire du dossier que l'appelant savait pertinemment ce qu'il faisait et ce qui allait se passer indiquant lui-même qu'il allait falloir faire usage de la force. Sa collaboration ne peut être qualifiée de bonne et sa prise de conscience est inexistante, dès lors qu'il n'a exprimé ni regret, ni excuse, persistant à rejeter la responsabilité de ses agissements sur le personnel pénitentiaire. Aucune circonstance atténuante au sens de l'art. 48 CP n'est réalisée ni au demeurant plaidée. La situation personnelle du prévenu n'est pas un facteur à décharge. Le prévenu ne remplit pas les conditions du sursis, le pronostic à formuler étant défavorable en regard de ses antécédents, dont déjà quatre condamnations pour des faits similaires qui ne l'ont pas empêché de récidiver. Seule une peine privative de liberté entre donc en ligne de compte tant sous l'angle de la prévention spéciale que du caractère manifestement non recouvrable d'une éventuelle peine-pécuniaire. Il y a concours réel rétrospectif, au vu de la condamnation prononcée par le TP le 23 août 2019 à l'encontre de l'appelant à deux mois de peine privative de liberté. Ainsi, la peine de base pour l'infraction objet de la présente procédure, considérée comme l'infraction la plus grave, doit être fixée à quatre mois. Si celle-ci avait été jugée en même temps que les faits du 23 août 2019, une peine globale de cinq mois aurait été la sanction adéquate, d'où le prononcé d'une peine complémentaire de trois mois. Le jugement entrepris sera, partant, également confirmé sur ce point.</w:t>
      </w:r>
    </w:p>
    <w:p>
      <w:r>
        <w:rPr>
          <w:b/>
        </w:rPr>
        <w:t>E. 4</w:t>
      </w:r>
    </w:p>
    <w:p>
      <w:r>
        <w:t>L'appelant, qui succombe, supportera les frais de la procédure envers l'Etat, ceux-ci comprenant un émolument de CHF 1'500.- (art. 428 CPP ; 14 al.1 let. e du règlement du 22 décembre 2010 fixant le tarif des frais et dépens en matière pénale [RTFMP - E 4 10.03]). La mise à charge de l'appelant des frais de procédure de première instance sera confirmée (art. 426 CPP).</w:t>
      </w:r>
    </w:p>
    <w:p>
      <w:r>
        <w:rPr>
          <w:b/>
        </w:rPr>
        <w:t>E. 5</w:t>
      </w:r>
    </w:p>
    <w:p>
      <w:r>
        <w:t>3.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d'autres documents ne nécessitant pas ou peu de motivation ou autre investissement particulier en termes de travail juridique, telle l'annonce d'appel ( AARP/436/2019 du 18 décembre 2019 consid. 6.2 et 6.4; AARP/184/2016 du 28 avril 2016 consid. 5.2.3.2 et 5.3.1 ; AARP/149/2016 du 20 avril 2016 consid. 5.3 et 5.4) et la déclaration d'appel (ordonnance de la Cour des plaintes du Tribunal pénal fédéral BB.2014.51 du 21 novembre 2014 consid. 2.1). Des exceptions demeurent possibles, charge à l'avocat de justifier l'ampleur d'opérations dont la couverture ne serait pas assurée par le forfait.</w:t>
      </w:r>
    </w:p>
    <w:p>
      <w:r>
        <w:rPr>
          <w:b/>
        </w:rPr>
        <w:t>E. 5.4</w:t>
      </w:r>
    </w:p>
    <w:p>
      <w:r>
        <w:t>En l'occurrence, de l'état de frais de M e C______ seront déduites une heure pour "examen opportunité appel suite au jugement", 50 minutes pour "examen des motivations du jugement", et 25 minutes pour "réexamen du dossier de la procédure en vue de la rédaction du mémoire d'appel", celles-ci étant excessives et faisant pour partie doublon, y compris avec la rédaction du mémoire d'appel, et la part acceptable étant couverte par le forfait pour activités diverses, en application des principes qui précèdent. Seront également retranchées 25 minutes pour "rédaction de la déclaration d'appel" entrant également dans le forfait pour activités diverses et 50 minutes du poste "rédaction du mémoire d'appel", étant considéré que trois heures étaient suffisantes. En conclusion, l'indemnité sera arrêtée à CHF 1'594,80 correspondant à six heures et dix minutes d'activité au tarif de CHF 200.-/heure (CHF 1'234.-) plus la majoration forfaitaire de 20% (CHF 246,80) et l'équivalent de la TVA au taux de 7.7% en CHF 114.-.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