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P/593/2018 vom 20. Dezember 2018</w:t>
      </w:r>
    </w:p>
    <w:p>
      <w:r>
        <w:t>GE Cour de justice, 2018-12-20, FR</w:t>
      </w:r>
    </w:p>
    <w:p>
      <w:r>
        <w:rPr>
          <w:b/>
        </w:rPr>
        <w:t xml:space="preserve">Quelle: </w:t>
      </w:r>
      <w:r>
        <w:t>https://mcp.opencaselaw.ch/entscheid/ge_gerichte_P_593_2018</w:t>
      </w:r>
    </w:p>
    <w:p>
      <w:r>
        <w:t>FR: GE_GERICHTE P/593/2018 du 20 décembre 2018</w:t>
      </w:r>
    </w:p>
    <w:p>
      <w:r>
        <w:t>IT: GE_GERICHTE P/593/2018 del 20 dicembre 2018</w:t>
      </w:r>
    </w:p>
    <w:p>
      <w:pPr>
        <w:pStyle w:val="Heading2"/>
      </w:pPr>
      <w:r>
        <w:t>Regeste</w:t>
      </w:r>
    </w:p>
    <w:p>
      <w:r>
        <w:t>COAUTEUR (DROIT PÉNAL) ; REPENTIR SINCÈRE ; COMMERCE DE STUPÉFIANTS | LStup.19; CP.48.letd</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19 al. 1 LStup punit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w:t>
      </w:r>
    </w:p>
    <w:p>
      <w:r>
        <w:rPr>
          <w:b/>
        </w:rPr>
        <w:t>E. 2.1.2</w:t>
      </w:r>
    </w:p>
    <w:p>
      <w:r>
        <w:t>Les actes visés par l'art. 19 al. 1 let. a à f de la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 ATF 119 IV 266 consid. 3a et 118 IV 397 consid. 2c). La LStup laisse une place à la complicité notamment lorsque l'assistance porte sur l'acte d'un autre, présente un caractère accessoire et ne constitue pas en elle-même une infraction définie comme telle expressément par la loi (ATF 133 IV 187 consid. 3.2 ; 115 IV 59 consid. 3).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ou tient le volant d'un véhicule en panne sachant qu'il y a de la drogue à bord (ATF 113 IV 90 consid. 2).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 arrêts du Tribunal fédéral 6B_381/2011 du 22 août 2011 consid. 2 ; 6P.60/2007 du 12 octobre 2007 consid. 11.1). Peu importe qu'il n'ait alors pas eu une maîtrise directe sur la drogue ( cf. ATF 114 IV 162 consid. 1b ; arrêt 6B_1021/2013 du 29 septembre 2014 consid. 7.3).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2.2.1. Le prévenu conteste en appel la coactivité retenue en première instance. Il soutient n'avoir été qu'un intermédiaire entre F______ et D______, son seul intérêt dans la transaction étant de solder sa dette envers son ancien fournisseur de stupéfiants. En janvier 2018, lorsque l'appelant est contacté par E______ qui cherche du haschich, il sait immédiatement qui appeler. Son contact fonctionne puisque celui-ci peut fournir les cinq kilos demandés de suite. Demeurant l'unique point de contact avec le fournisseur, le prévenu accompagne E______ et D______ à Genève et les guide jusqu'à l'appartement de F______. Sur place, c'est lui seul qui monte chercher la drogue et la contrôle. Son ADN a été retrouvé sur la plaque de haschich entamée. C'est toujours lui qui met le sac contenant le haschich dans le coffre de la G______ et qui prend place dans ce véhicule. Ce comportement ne saurait être assimilé à celui du simple complice qui se contenterait par exemple de mettre une voiture à disposition pour le trajet ou de prêter assistance au transporteur en raison d'une panne de véhicule. Au contraire, ces actes remplissent à eux seuls les éléments constitutifs des infractions aux art. 19 al. 1 let. b et d LStup. De surcroît, on ne saurait suivre l'appelant quand il déclare avoir agi sous l'emprise des menaces de son ancien fournisseur. Il n'a pas établi au cours de la procédure l'existence de cette prétendue dette antérieure. Il n'a pas non plus prouvé avoir reçu des menaces de la part de F______, aux fins de remboursement de ladite dette. La fréquence des appels entre le 6 et le 7 janvier 2018 ne constitue pas un début de preuve à cet égard. Il n'apparaît pas vraisemblable qu'un individu qui serait si menaçant et réclamerait avec intensité sa créance, maintenant une pression constante, allant jusqu'à se rendre au domicile du débiteur et à le menacer en présence de sa famille, lui ferait suffisamment confiance pour lui confier la drogue retrouvée chez H______, encore moins qu'il accepte en définitive de renoncer à sa créance pour une unique transaction d'un montant somme toute pas si significatif. Au contraire, il est bien plus plausible que la drogue était, à tout le moins en partie, destinée à l'appelant. Il avait été actif par le passé dans la vente de stupéfiants et l'était encore comme le démontre le dossier. Son intérêt pour l'objet de la transaction apparaît encore renforcé du fait qu'il a contrôlé la marchandise dont il prenait livraison puisque son ADN a été retrouvé sur la plaque de haschich entamée, puis qu'il a pris place dans le véhicule transportant le haschich, ce qui lui permettait de surveiller sa marchandise. Si, réellement, sa dette avait été acquittée dès le moment où il avait remis la drogue à E______ et D______, il était censé ne plus être concerné par la transaction. Partant, à l'instar des premiers juges, la CPAR retiendra que les cinq kilos de haschich (4'811,90 grammes net) ont été achetés pour le compte de l'appelant, de E______ et de D______, lesquels les ont transportés et détenus, en qualité de coauteurs, et que la drogue devait être divisée entre eux trois. Le jugement entrepris sera confirmé sur ce point. 2.2.2. L'appelant ne saurait davantage être suivi lorsqu'il demande son acquittement du point B.I.1.5 de l'acte d'accusation pour les quatre occurrences décrites. Sa thèse selon laquelle les déclarations initiales des comparses auraient été concertées sur un aspect secondaire afin de mieux l'impliquer sur le volet principal paraît fantaisiste. Les trois acheteurs ont été constants sur ce point dès leur première audition devant la police, alors qu'ils n'avaient guère d'occasion de se concerter, et qu'ils s'incriminaient eux-mêmes.</w:t>
      </w:r>
    </w:p>
    <w:p>
      <w:r>
        <w:rPr>
          <w:b/>
        </w:rPr>
        <w:t>E. 3.1</w:t>
      </w:r>
    </w:p>
    <w:p>
      <w:r>
        <w:t>Les infractions selon chacune des hypothèses de l'art. 19 al. 1 LStup, ici let. b, c et d, sont punies d'une peine privative de liberté de trois ans au plus ou d'une peine pécuniaire. Celui qui aura consommé intentionnellement des stupéfiants est passible de l'amende (art. 19a ch. 1 LStup). À teneur de l'art. 115 al. 1 de la loi sur les étrangers et l'intégration (LEI, nouvelle appellation dès le 1 er janvier 2019; anciennement : loi sur les étrangers, LEtr, étant précisé que la teneur de cette disposition n'a pas été modifiée), sera puni d'une peine privative de liberté d'un an au plus ou d'une peine pécuniaire, quiconque séjourne illégalement en Suisse (let. b).</w:t>
      </w:r>
    </w:p>
    <w:p>
      <w:r>
        <w:rPr>
          <w:b/>
        </w:rPr>
        <w:t>E. 3.1.1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3.1.2</w:t>
      </w:r>
    </w:p>
    <w:p>
      <w:r>
        <w:t>En matière de trafic de stupéfiants, il y a lieu de tenir compte, plus spécialement, des circonstances suivantes (arrêt du Tribunal fédéral 6B_189/2017 du 7 décembre 2017 consid. 5.1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arrêt du Tribunal fédéral 6B_189/2017 du 7 décembre 2017 consid. 5.1 et les références). La drogue et sa pureté doivent aussi être prises en considération. Le type et la nature du trafic en cause sont aussi déterminants. L'appréciation est différente selon que l'auteur a agi de manière autonome ou comme membre d'une 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w:t>
      </w:r>
    </w:p>
    <w:p>
      <w:r>
        <w:rPr>
          <w:b/>
        </w:rPr>
        <w:t>E. 3.1.3</w:t>
      </w:r>
    </w:p>
    <w:p>
      <w:r>
        <w:t>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 cf. sous l'empire des art. 63 et 64 aCP, ATF 121 IV 202 consid. 2d/cc).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3.1.4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w:t>
      </w:r>
    </w:p>
    <w:p>
      <w:r>
        <w:rPr>
          <w:b/>
        </w:rPr>
        <w:t>E. 3.1.5</w:t>
      </w:r>
    </w:p>
    <w:p>
      <w:r>
        <w:t>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 sursis partiel permet au juge d'infliger une peine privative de liberté dont une partie ferme et l'autre avec sursis. L'autorité ne se trouve ainsi plus confrontée au choix du " tout ou rien ",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w:t>
      </w:r>
    </w:p>
    <w:p>
      <w:r>
        <w:rPr>
          <w:b/>
        </w:rPr>
        <w:t>E. 3.1.6</w:t>
      </w:r>
    </w:p>
    <w:p>
      <w:r>
        <w:t>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 L'art. 46 al. 1 CP prévoit en outre que si la peine dont le sursis est révoqué et la nouvelle peine prononcée sont du même genre, le juge fixe une peine d'ensemble en appliquant par analogie l'art. 49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3.2</w:t>
      </w:r>
    </w:p>
    <w:p>
      <w:r>
        <w:t>La faute de l'appelant est grave. Il persiste à séjourner illégalement en Suisse, malgré l'injonction de quitter le territoire dont il fait l'objet, afin de se livrer au trafic de stupéfiants. Il a agi à réitérées reprises sous différentes casquettes : gardien de la drogue confiée par F______, détenteur, transporteur et vendeur au détail pour son propre compte. Les mobiles du prévenu sont égoïstes, puisque liés à l'appât d'un gain facile. Certes, l'appelant a contribué à l'enquête par ses déclarations à propos de F______. Il n'est cependant pas seul à l'origine de la mise en cause de ce dernier, la police enquêtait déjà sur celui-ci avant l'interpellation des quatre protagonistes comme il ressort du rapport de police du 22 février 2018. Par ailleurs, la bonne collaboration du prévenu a été ternie par ses dénégations et minimisations concernant sa propre implication, dénégations qui perdurent aujourd'hui encore. La communication d'informations apparaît davantage opportuniste que suscitée par une prise de conscience et une véritable volonté de changer de mode de vie, de sorte qu'il n'y a pas de place pour l'application de la circonstance atténuante du repentir sincère. A la décharge de l'appelant, il y a cependant lieu de tenir compte de son mérite en donnant des informations importantes sur le fournisseur de haschich. Mais doit surtout être porté à son crédit le fait que les délits dont il est question concernaient une quantité certes non anodine mais pas non plus significative de haschich et de cocaïne. Il y a concours d'infractions au sens de l'art. 49 al. 1 CP, ce qui justifie une augmentation de la peine de l'infraction la plus grave. Les éléments qui précèdent imposent de confirmer le choix du genre de peine pour les infractions aux art. 19 al. 1 let. b, c et d LStup et 115 al. 1 let. b LEI, que l'appelant n'a d'ailleurs pas critiqué. En effet, la peine pécuniaire ne saurait entrer en considération, faute d'effet dissuasif. L'appelant a fait preuve d'imperméabilité aux sanctions déjà prononcées, comprenant des peines d'emprisonnement. Il a poursuivi son comportement délictuel spécifique sans amendement aucun. Le sursis de 18 mois octroyé le 2 septembre 2015 par le Tribunal correctionnel de ______ (VD) sera révoqué, en présence d'un pronostic défavorable. L'appelant n'a pas commis un faux pas unique mais est retourné à son mode de vie, intégrant le trafic de haschich comme activité régulière. Toutes les circonstances personnelles dont il se prévaut aujourd'hui, soit l'existence d'une relation stable, la responsabilité de deux enfants et une possibilité de travailler, étaient réunies lorsqu'il a commis les infractions présentement jugées, sans que cela ne le retienne de s'y livrer. La fixation d'une peine d'ensemble s'impose. Les actes abstraitement les plus graves au sens de l'art. 49 al. 1 CP sont ceux d'infractions à l'art. 19 al. 1 let. b, c et d LStup. Aussi, la CPAR juge approprié une peine privative de liberté de cinq mois, auxquels s'ajoutera un mois afin de tenir compte du concours avec l'infraction de séjour illégal. A la peine globale de six mois prononcée dans la présente procédure s'ajoutera la peine privative de liberté révoquée de 18 mois. La peine d'ensemble sera ainsi de 24 mois. Vu l'ancrage de l'appelant dans la délinquance, en particulier dans le trafic de stupéfiants, ainsi que le risque de récidive, au regard de son parcours, le pronostic d'avenir est concrètement défavorable. Aussi, une mesure de sursis, même partiel, n'entre pas en considération (art. 43 al. 1 a contrario CP). Partant, l'appelant sera condamné à une peine privative de liberté d'ensemble ferme de 24 mois, partiellement complémentaire à celle prononcée le 2 juin 2017 par le Ministère public de l'arrondissement de ______ (VD). Le prononcé d'une amende de CHF 300.- infligée en raison de l'infraction à l'art. 19a ch. 1 LStup, non contesté en appel, sera confirmé.</w:t>
      </w:r>
    </w:p>
    <w:p>
      <w:r>
        <w:rPr>
          <w:b/>
        </w:rPr>
        <w:t>E. 4</w:t>
      </w:r>
    </w:p>
    <w:p>
      <w:r>
        <w:t>2. Au vu de ce qui précède, en particulier de la confirmation du verdict de culpabilité, la répartition des frais de première instance ne sera pas revue (art. 428 al. 3 CPP).</w:t>
      </w:r>
    </w:p>
    <w:p>
      <w:r>
        <w:rPr>
          <w:b/>
        </w:rPr>
        <w:t>E. 4.1</w:t>
      </w:r>
    </w:p>
    <w:p>
      <w:r>
        <w:t>L'appelant, qui succombe pour l'essentiel, supportera 9/10 èmes des frais de la procédure envers l'État (art. 428 CPP), qui comprennent un émolument de décision de CHF 2'000.-.</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débours de l'étude inclus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ATF 125 V 408 consid. 3a ; arrêts du Tribunal fédéral 6B_1410/2017 du 15 juin 2018 consid. 4.1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5.2.3. L'activité consacrée aux conférences, audiences et autres actes de la procédure est forfaitairement majorée de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10% au-delà de 30 heures d'activité,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5.3</w:t>
      </w:r>
    </w:p>
    <w:p>
      <w:r>
        <w:t>En l'occurrence, en lien avec l'activité de la défenseure d'office en appel, seule la moitié des heures consacrées à la préparation des débats (05h00) sera retenue, le dossier étant censé bien connu de l'avocate qui venait de le plaider en première instance et l'argumentation développée devant la Cour de céans étant substantiellement la même que devant les premiers juges. Il en va de même des entretiens avec le client, trois visites, soit une par mois, apparaissant amplement suffisantes pour orienter l'appelant sur les chances de succès et les coûts en cas de rejet, ainsi que recueillir sa détermination, celui-ci ne contestant pour l'essentiel pas les faits (04h30). A ces heures, s'ajoutera la durée de l'audience (02h00). En conclusion, l'indemnité sera arrêtée à CHF 2'824.80 correspondant à 11h30 d'activité au tarif de CHF 200/heure (CHF 2'300.-), plus la majoration forfaitaire de 10% (CHF 230.-) et la TVA, au taux de 7,7% (CHF 194.80), ainsi que le déplacement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