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P/592/2024 vom 4. Juli 2025</w:t>
      </w:r>
    </w:p>
    <w:p>
      <w:r>
        <w:t>GE Cour de justice, 2025-07-04, FR</w:t>
      </w:r>
    </w:p>
    <w:p>
      <w:r>
        <w:rPr>
          <w:b/>
        </w:rPr>
        <w:t xml:space="preserve">Quelle: </w:t>
      </w:r>
      <w:r>
        <w:t>https://mcp.opencaselaw.ch/entscheid/ge_gerichte_P_592_2024</w:t>
      </w:r>
    </w:p>
    <w:p>
      <w:r>
        <w:t>FR: GE_GERICHTE P/592/2024 du 4 juillet 2025</w:t>
      </w:r>
    </w:p>
    <w:p>
      <w:r>
        <w:t>IT: GE_GERICHTE P/592/2024 del 4 luglio 2025</w:t>
      </w:r>
    </w:p>
    <w:p>
      <w:pPr>
        <w:pStyle w:val="Heading2"/>
      </w:pPr>
      <w:r>
        <w:t>Regeste</w:t>
      </w:r>
    </w:p>
    <w:p>
      <w:r>
        <w:t>EXCÈS DE VITESSE | LCR.90.al2; LCR.90.al1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w:t>
      </w:r>
    </w:p>
    <w:p>
      <w:r>
        <w:rPr>
          <w:b/>
        </w:rPr>
        <w:t>E. 2.2</w:t>
      </w:r>
    </w:p>
    <w:p>
      <w:r>
        <w:t>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w:t>
      </w:r>
    </w:p>
    <w:p>
      <w:r>
        <w:rPr>
          <w:b/>
        </w:rPr>
        <w:t>E. 3</w:t>
      </w:r>
    </w:p>
    <w:p>
      <w:r>
        <w:t>Le MP reproche au premier juge d'avoir écarté à tort la qualification juridique de violation grave des règles de la circulation routière au profit d'une violation simple de celles-ci.</w:t>
      </w:r>
    </w:p>
    <w:p>
      <w:r>
        <w:rPr>
          <w:b/>
        </w:rPr>
        <w:t>E. 3.1</w:t>
      </w:r>
    </w:p>
    <w:p>
      <w:r>
        <w:t>Aux termes de l'art. 90 LCR, celui qui viole les règles de la circulation prévues par la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w:t>
      </w:r>
    </w:p>
    <w:p>
      <w:r>
        <w:rPr>
          <w:b/>
        </w:rPr>
        <w:t>E. 3.2</w:t>
      </w:r>
    </w:p>
    <w:p>
      <w:r>
        <w:t>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143 IV 508 consid. 1.3 p. 512 = SJ 2018 I 277 ; 142 IV 93 consid. 3.1 p. 96 ; 131 IV 133 consid. 3.2 p. 136 ; arrêt du Tribunal fédéral 6B_444/2016 du 3 avril 2017 consid. 1.1). Le comportement de l'auteur doit causer une mise en danger de la vie ou de la santé d'un être humain, à l'exclusion du patrimoine d'autrui (Y. JEANNERET, Les dispositions pénales de la loi sur la circulation routière, Berne 2007, n. 24 ad art. 90). Le comportement de l'auteur crée une mise en danger concrète lorsqu'il existe, selon le cours ordinaire des choses, une probabilité sérieuse de réalisation effective et imminente du risque, à savoir une atteinte à la vie ou à la santé d'au moins une personne déterminée. Subjectivement, l'art. 90 al. 2 LCR exige un comportement sans scrupules ou gravement contraire aux règles de la circulation, c'est-à-dire une faute grave et, en cas d'acte commis par négligence, à tout le moins une négligence grossière (arrêt du Tribunal fédéral 6B_734/2023 du 20 octobre 2023 consid. 4.1.1). 3.3.1. En lien avec l'application de l'art. 90 al. 2 LCR, la jurisprudence a été amenée à fixer des règles précises dans le domaine des excès de vitesse afin d'assurer l'égalité de traitement (arrêt du Tribunal fédéral 6B_444/2016 du 3 avril 2017 consid. 1.1). Ainsi, le cas est objectivement grave au sens de l'art. 90 al. 2 LCR, sans égard aux circonstances concrètes, en cas de dépassement de la vitesse autorisée de 25 km/h ou plus à l'intérieur des localités (ATF 132 II 234 consid. 3.1 ; 124 II 259 consid. 2b ; 123 II 106 consid. 2c). 3.3.2. Cependant, la jurisprudence admet que dans des circonstances exceptionnelles, il y a lieu d'exclure l'application du cas grave alors même que le seuil de l'excès de vitesse fixé a été atteint. Ainsi, sous l'angle de l'absence de scrupules, le Tribunal fédéral a retenu que le cas grave n'était pas réalisé lorsque la vitesse avait été limitée provisoirement à 80 km/h sur un tronçon autoroutier pour des motifs écologiques liés à une présence excessive de particules fines dans l'air (arrêt du Tribunal fédéral 6B_109/2008 du 13 juin 2008 consid. 3.2 ; voir également le considérant 1.3.2 de l'arrêt du Tribunal fédéral 6B_444/2016 ), ou encore lorsque la limitation de vitesse violée relevait notamment de mesures de modération du trafic (arrêt du Tribunal fédéral 6B_622/2009 du 23 octobre 2009 consid. 3.5).</w:t>
      </w:r>
    </w:p>
    <w:p>
      <w:r>
        <w:rPr>
          <w:b/>
        </w:rPr>
        <w:t>E. 3.4</w:t>
      </w:r>
    </w:p>
    <w:p>
      <w:r>
        <w:t>En l'espèce, il est établi, et non contesté, que l'intimé a commis un excès de vitesse de 29 km/h (marge de sécurité déduite), en localité, alors que la zone était limitée à 30 km/h, de sorte qu'il a, objectivement, commis une violation grave des règles de la circulation routière au sens de la jurisprudence susmentionnée. Reste à examiner s'il existe des " circonstances exceptionnelles " propres à exclure l'application du cas grave dans le cas d'espèce. Il est établi, à teneur du dossier, que la vitesse maximale au boulevard du Pont-d'Arve était limitée, jusqu'à la mise en œuvre de l'arrêté du Département des infrastructures de Genève du 17 décembre 2020, à 50 km/h, avant d'être abaissée à 30 km/h pour des motifs liés à la protection contre le bruit, à l'exclusion de toute considération sécuritaire. Dans ces circonstances, l'on ne peut d'emblée considérer l'excès de vitesse commis par l'intimé comme étant constitutif d'une violation grave des règles de la circulation routière. Il importe de tenir compte des circonstances propres au cas d'espèce. Or, le jour des faits le tronçon n'était pas en travaux, aucun autre véhicule ne circulait sur la route et les conditions de circulation étaient bonnes. Partant, l'on ne saurait retenir, à teneur de la jurisprudence, que l'intimé a créé, par son comportement, un danger sérieux pour le trafic. Au demeurant, au vu des circonstances, il appert que l'intimé n'a pas agi sans scrupules, l'inattention – somme toute non négligeable – dont il a fait preuve en ne prêtant pas suffisamment attention à la signalisation routière relevant d'une négligence fautive appréhendée par l'art. 90 al. 1 LCR. Le jugement de première instance sera ainsi confirmé et l'appel du MP rejeté sur ce point.</w:t>
      </w:r>
    </w:p>
    <w:p>
      <w:r>
        <w:rPr>
          <w:b/>
        </w:rPr>
        <w:t>E. 4.1</w:t>
      </w:r>
    </w:p>
    <w:p>
      <w:r>
        <w:t>L'infraction à l'art. 90 al. 1 LCR est passible d'une amende.</w:t>
      </w:r>
    </w:p>
    <w:p>
      <w:r>
        <w:rPr>
          <w:b/>
        </w:rPr>
        <w:t>E. 4.2</w:t>
      </w:r>
    </w:p>
    <w:p>
      <w:r>
        <w:t>Selon l'art. 106 al. 3 CP, le montant de l'amende est fixé en tenant compte de la situation de l'auteur et de la faute commise. Selon l'art. 106 al. 2 CP, si le condamné ne paie pas l'amende, une peine privative de liberté de substitution est prononcée, d'un jour au moins et de trois mois au plus.</w:t>
      </w:r>
    </w:p>
    <w:p>
      <w:r>
        <w:rPr>
          <w:b/>
        </w:rPr>
        <w:t>E. 4.3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4.4</w:t>
      </w:r>
    </w:p>
    <w:p>
      <w:r>
        <w:t>En l'espèce, la faute de l'intimé est d'importance moyenne. Il a commis un dépassement de vitesse de 29 km/h dans une localité en étant inattentif à la signalisation en vigueur depuis plus de deux ans. Sa collaboration a été bonne, ayant d'emblée admis les faits qui lui étaient reprochés. Sa prise de conscience est par ailleurs aboutie ; il s'est excusé pour son comportement et a dit regretter sa faute. Rien dans sa situation personnelle ne justifie ni n'excuse ses agissements. Il n'a aucun antécédent, ce qui est un facteur neutre dans le cadre de la fixation de la peine. La situation personnelle et financière de l'intimé étant particulièrement favorable, celui-ci ayant notamment indiqué posséder une fortune d'environ quatre millions de francs, il importe de revoir le montant de l'amende fixée par le TP à la hausse. Tenant compte de ce qui précède, l'amende sera fixée à CHF 1'000.-, avec peine de substitution de dix jours. Le jugement sera réformé dans le sens de ce qui précède et l'appel du MP rejeté sur ce point également.</w:t>
      </w:r>
    </w:p>
    <w:p>
      <w:r>
        <w:rPr>
          <w:b/>
        </w:rPr>
        <w:t>E. 5.1</w:t>
      </w:r>
    </w:p>
    <w:p>
      <w:r>
        <w:t>Vu l'issue de la procédure, les frais d'appel sont laissés à la charge de l'État (art. 428 al. 1 CPP).</w:t>
      </w:r>
    </w:p>
    <w:p>
      <w:r>
        <w:rPr>
          <w:b/>
        </w:rPr>
        <w:t>E. 5.2</w:t>
      </w:r>
    </w:p>
    <w:p>
      <w:r>
        <w:t>Pour les mêmes motifs, il n'y a pas lieu de revenir sur la répartition des frais de la procédure de première instance (art. 426 al. 1 et 428 al. 3 CPP).</w:t>
      </w:r>
    </w:p>
    <w:p>
      <w:r>
        <w:rPr>
          <w:b/>
        </w:rPr>
        <w:t>E. 6.1</w:t>
      </w:r>
    </w:p>
    <w:p>
      <w:r>
        <w:t>La décision sur les frais préjuge en principe de la question de l'indemnisation (ATF 144 IV 207 consid. 1.8.2 ; 137 IV 352 consid. 2.4.2).</w:t>
      </w:r>
    </w:p>
    <w:p>
      <w:r>
        <w:rPr>
          <w:b/>
        </w:rPr>
        <w:t>E. 6.2</w:t>
      </w:r>
    </w:p>
    <w:p>
      <w:r>
        <w:t>Conformément à l'art. 436 al. 1 CPP, les prétentions en indemnités dans la procédure de recours sont régies par les art. 429 à 434 CPP. 6.3.1. À teneur de l'art. 429 al. 1 let. a CPP, le prévenu a droit, s'il est acquitté totalement ou en partie, à une indemnité pour les dépenses occasionnées par l'exercice raisonnable de ses droits de procédure. 6.3.2. L'État ne prend en charge les frais de défense que si l'assistance d'un avocat était nécessaire compte tenu de la complexité de l'affaire en fait ou en droit et que le volume de travail, et donc les honoraires, étaient ainsi justifiés (ATF 142 IV 45 consid. 2.1 ; arrêt du Tribunal fédéral 6B_380/2021 du 21 juin 2022 consid. 2.2.1). L'État doit en principe indemniser la totalité des frais de défense, ceux-ci devant toutefois demeurer raisonnables compte tenu de la complexité et de la difficulté de l'affaire (ATF 142 IV 163 consid. 3.1.2 ; arrêt du Tribunal fédéral 6B_380/2021 du 21 juin 2022 consid. 2.2.2). L'indemnité doit correspondre au tarif usuel du barreau applicable dans le canton où la procédure se déroule (ATF 142 IV 163 consid. 3.1.2 ; arrêt du Tribunal fédéral 6B_380/2021 du 21 juin 2022 consid. 2.2.2). La Cour de justice applique un tarif horaire maximal de CHF 400.- à CHF 450.- pour les chefs d’étude ( AARP/177/2023 du 25 mai 2023 consid. 7.1 ; AARP/52/2023 du 20 février 2023 consid. 6.2.2).</w:t>
      </w:r>
    </w:p>
    <w:p>
      <w:r>
        <w:rPr>
          <w:b/>
        </w:rPr>
        <w:t>E. 6.4</w:t>
      </w:r>
    </w:p>
    <w:p>
      <w:r>
        <w:t>Bien qu'invité à chiffrer les honoraires de son avocat, l'intimé ne s'est pas exécuté avant la clôture des débats d'appel. Dans ces circonstances, il sera statué sur la base des éléments du dossier. Compte tenu du caractère limité de l'appel et de l'absence de complexité de la procédure, l'activité utile peut se résumer à une heure de préparation pour l'audience d'appel, 30 minutes de conférence avec le client, ainsi que la durée des débats d'appel, soit une heure, au taux horaire de CHF 450.-. L'indemnité pour les dépenses de l'intimé occasionnées par l'exercice raisonnable de ses droits en appel doit dès lors être arrêtée à CHF 1'216.15, TVA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