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P/5909/2012 vom 1. September 2015</w:t>
      </w:r>
    </w:p>
    <w:p>
      <w:r>
        <w:t>GE Cour de justice, 2015-09-01, FR</w:t>
      </w:r>
    </w:p>
    <w:p>
      <w:r>
        <w:rPr>
          <w:b/>
        </w:rPr>
        <w:t xml:space="preserve">Quelle: </w:t>
      </w:r>
      <w:r>
        <w:t>https://mcp.opencaselaw.ch/entscheid/ge_gerichte_P_5909_2012</w:t>
      </w:r>
    </w:p>
    <w:p>
      <w:r>
        <w:t>FR: GE_GERICHTE P/5909/2012 du 1 septembre 2015</w:t>
      </w:r>
    </w:p>
    <w:p>
      <w:r>
        <w:t>IT: GE_GERICHTE P/5909/2012 del 1 settembre 2015</w:t>
      </w:r>
    </w:p>
    <w:p>
      <w:pPr>
        <w:pStyle w:val="Heading2"/>
      </w:pPr>
      <w:r>
        <w:t>Regeste</w:t>
      </w:r>
    </w:p>
    <w:p>
      <w:r>
        <w:t>ACTE D'ORDRE SEXUEL; PEINE; FRAIS DE LA PROCÉDURE; ASSISTANCE JUDICIAIRE; ACTE D'ORDRE SEXUEL AVEC UN ENFANT ; INFRACTIONS CONTRE L'INTÉGRITÉ SEXUELLE | CP.187; CP.47; CPP.428; CPP.421.1; RAJ.16</w:t>
      </w:r>
    </w:p>
    <w:p>
      <w:pPr>
        <w:pStyle w:val="Heading2"/>
      </w:pPr>
      <w:r>
        <w:t>Erwägungen</w:t>
      </w:r>
    </w:p>
    <w:p>
      <w:r>
        <w:rPr>
          <w:b/>
        </w:rPr>
        <w:t>E. 1</w:t>
      </w:r>
    </w:p>
    <w:p>
      <w:r>
        <w:t>L'appel est recevable pour avoir été interjeté et motivé selon la forme et dans les délais prescrits (art. 398 et 399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preuves.![endif]&gt;![if&gt;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pouvoir d'appréciation étendu dans l'appréciation des preuves (ATF 120 Ia 31 ). Lorsqu'il est confronté à des versions contradictoires, il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w:t>
      </w:r>
    </w:p>
    <w:p>
      <w:r>
        <w:rPr>
          <w:b/>
        </w:rPr>
        <w:t>E. 2.2</w:t>
      </w:r>
    </w:p>
    <w:p>
      <w:r>
        <w:t>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Dans le cadre du principe de libre appréciation des preuves, rien ne s'oppose non plus à ne retenir qu'une partie des déclarations d'un témoin globalement crédible (ATF 120 Ia 31 consid. 3, spéc. p. 39).</w:t>
      </w:r>
    </w:p>
    <w:p>
      <w:r>
        <w:rPr>
          <w:b/>
        </w:rPr>
        <w:t>E. 3.1</w:t>
      </w:r>
    </w:p>
    <w:p>
      <w:r>
        <w:t>L'art. 187 ch. 1 CP sanctionne celui qui aura commis un acte d'ordre sexuel sur un enfant de moins de seize ans, celui qui aura entraîné un enfant de cet âge à commettre un tel acte ainsi que celui qui y aura mêlé un enfant de cet âge. Cette disposition protège le développement des mineurs. Par acte d'ordre sexuel, il faut entendre une activité corporelle sur soi-même ou sur autrui qui tend à l'excitation ou à la jouissance sexuelle de l'un des participants au moins, l'acte en question devant objectivement revêtir un caractères sexuel (arrêt 6B_253/2011 du Tribunal fédéral du 5 octobre 2011, consid. 6). Il résulte de la jurisprudence que la notion d'acte d'ordre sexuel doit être interprétée plus largement lorsque la victime est un enfant. Dans ce cas, il faut se demander si l'acte, qui doit revêtir un caractère sexuel indiscutable, est de nature à perturber l'enfant (arrêt du Tribunal fédéral 6B_918/2010 du 14 mars 2011 consid. 2.1). L'enfant doit être directement touché par l'acte, ne serait-ce qu'en jouant un rôle purement passif (B. CORBOZ, Les infractions en droit suisse , vol. I, 3 e éd., Berne 2010, n. 21 ad art. 187). Mêler un enfant à un acte d'ordre sexuel signifie que l'auteur commet sciemment cet acte devant l'enfant et veut que celui-ci le perçoive. L'enfant doit être utilisé comme un élément du jeu sexuel (B. CORBOZ, op. cit., n. 24 ad art. 187 et ATF 129 IV 169 , consid. 3.1). L'infraction est intentionnelle, l'intention devant porter non seulement sur le caractère sexuel de l'acte, mais aussi sur le fait que la victime est âgée de moins de seize ans, le dol éventuel étant suffisant (B. CORBOZ, op. cit., n. 27 et 28 ad art. 187).</w:t>
      </w:r>
    </w:p>
    <w:p>
      <w:r>
        <w:rPr>
          <w:b/>
        </w:rPr>
        <w:t>E. 3.2</w:t>
      </w:r>
    </w:p>
    <w:p>
      <w:r>
        <w:t>Au titre des éléments à charge figurent les déclarations successives de la victime qui n'a pas sensiblement varié, qu'il s'agisse du récit fait à sa maman, à la police ou au Ministère public. Ses déclarations ont été constantes dans le descriptif du contenu des actes, les situant dans le temps et leur localisation d'une manière convaincante. On ne dénote pas au fil de ses déclarations successives une aggravation des abus décrits, ce qui accroît leur crédibilité. La localisation des faits dénoncés ne constitue pas un problème contrairement à ce que veut faire croire l'appelant. Celui-ci concède qu'un geste a pu être mal interprété par sa nièce installée sur ses genoux devant l'ordinateur, alors que la victime situe les actes déplacés dans le salon. Le récit de D______ emporte conviction. Que les abus aient été accomplis sur une chaise ou le canapé au salon ne change rien au fait qu'ils ont pu avoir lieu. La présence de deux adultes à la cuisine n'était pas de nature à empêcher la réalisation de gestes constitutifs d'abus tels que décrits par la victime, dans la mesure où ils n'étaient pas reconnaissables ni même visibles par des tiers. Ainsi la possibilité matérielle de commettre les abus sexuels décrits n'est-elle pas incompatible avec les éléments factuels figurant au dossier, la présence d'enfants pris dans leurs jeux aux alentours ne représentant aucun obstacle dirimant à leur accomplissement. Il en aurait été différemment si la victime avait dit que son oncle se dénudait en lui prenant la main. Le processus d'évitement décrit par D______ est aussi probant. Il est en effet courant que de jeunes enfants n'osent pas affronter la réaction de leur abuseur et qu'ils préfèrent adopter diverses stratégies dont la finalité rejoint celle d'un refus, sans que la manière soit nécessairement reconnaissable par des tiers. La dénonciation des abus ne coïncide pas avec une crise du couple ______, ce qui permet d'écarter une dénonciation opportuniste qui aurait pu servir les intérêts de la maman de la victime dans le cadre d'une procédure judiciaire pendante. La fillette n'avait aucune raison objective de faire condamner son oncle, hormis celle de faire reconnaître les faits dont elle a souffert. Bien au contraire, la présence d'E______ et la crainte de la priver de son père ont représenté des freins à la dénonciation qui ne s'est concrétisée que tardivement. Le processus de dévoilement peut être tenu pour particulièrement significatif, ainsi que le souligne la maman de la victime. La gestuelle lors de la déclaration filmée vient renforcer la conviction de la Cour quant à la manière dont la main de la fillette a volontairement été portée sur le sexe de son abuseur. Le geste décrit, dont la finalité n'était pas connue de la victime au moment de son interrogatoire, est révélateur d'un acte à connotation sexuelle, à l'instar du ressenti éprouvé par la victime au contact du membre de l'abuseur qui de mou devient dur comme un bâton. Eprouverait-on encore des doutes qu'ils seraient balayés par d'autres éléments, tels les crises d'angoisse à l'école qui ne sont explicables par aucun autre élément probant ou l'expertise de crédibilité. L'analyse de la psychologue permet notamment d'écarter l'un des arguments soulevés par l'appelant quant à l'influence possible des mœurs prétendument dissolues des parents de la fillette durant leur séjour à Madagascar. La mise en exergue des syndromes significatifs d'un traumatisme sexuel par la pédiatre de D______ constitue un autre élément à charge, au-delà des réserves d'usage de la praticienne qui n'a pas qualité d'expert. La Cour observe que les conclusions des intervenants médicaux rejoignent dans une large mesure l'opinion des parents qui disent n'avoir éprouvé aucun doute au sujet des déclarations de leur fille. La maman avait pourtant à craindre de perdre un lien parental cher à sa fille, de par la présence des cousin(e)s de cette dernière, notamment d'E______. Au vu de ce qui précède, les dénégations de l'appelant ne pèsent pas lourd, pas plus que le certificat de bonne vie et mœurs dont se targue son épouse. La tentative d'expliquer le ressenti de la fillette par un geste qui aurait pu être mal interprété n'est guère convaincante au regard de la description précise des gestes constitutifs d'abus, sans compter qu'une maladresse n'aurait pas pu se répéter à réitérées reprises. Le fait qu'il ait été un bon père de famille ne présentant aucun antécédent ne constitue pas un facteur suffisant pour mettre en doute les révélations de sa nièce, les relations père-fille n'étant pas comparables à celles qu'un oncle peut avoir. Enfin, le soulagement éprouvé à l'évocation d'une absence de plainte pénale trouve difficilement sa source dans l'aversion "des procédures" ainsi qu'il l'allègue mais bien plutôt dans le fait de ne pas devoir s'exposer à des questions gênantes sur un comportement que l'appelant savait être déviant. La culpabilité de l'appelant est ainsi établie à satisfaction de droit, ainsi que l'a reconnu à bon escient le premier juge. Les faits décrits dans l'acte d'accusation entrent très clairement dans la catégorie des actes d'ordre sexuel imposés à D______ qui en a été perturbée, ainsi qu'en attestent le changement de comportement à l'école et les syndromes de traumatisme sexuel relevés par sa pédiatre.</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p. 2).</w:t>
      </w:r>
    </w:p>
    <w:p>
      <w:r>
        <w:rPr>
          <w:b/>
        </w:rPr>
        <w:t>E. 4.2</w:t>
      </w:r>
    </w:p>
    <w:p>
      <w:r>
        <w:t>L'appelant n'a pris aucune conclusion sur la peine, ne serait-ce qu'à titre subsidiaire. La condamnation à une année de peine privative de liberté est conforme aux critères de l'art. 47 CP. Elle tient équitablement compte de la gravité de la faute commise, du défaut de collaboration de l'appelant qui n'a eu de cesse de minimiser sa part de responsabilité et de l'absence d'antécédents. Un travail d'intérêt général aurait pu être envisagé si l'appelant ne souffrait pas de problèmes de santé qui l'ont conduit à être bénéficiaire d'une rente AI et à abandonner une activité professionnelle imposant une bonne forme physique. Aussi la sanction prononcée sera-t-elle confirmée, tant dans son genre que dans sa quotité. Le sursis est acquis à l'appelant au vu de l'interdiction de la reformatio in peius, l'appelant en remplissant au demeurant les conditions.</w:t>
      </w:r>
    </w:p>
    <w:p>
      <w:r>
        <w:rPr>
          <w:b/>
        </w:rPr>
        <w:t>E. 5</w:t>
      </w:r>
    </w:p>
    <w:p>
      <w:r>
        <w:t>Au vu de l'issue de l'appel, l'appelant sera débouté de ses conclusions en indemnisation.</w:t>
      </w:r>
    </w:p>
    <w:p>
      <w:r>
        <w:rPr>
          <w:b/>
        </w:rPr>
        <w:t>E. 6</w:t>
      </w:r>
    </w:p>
    <w:p>
      <w:r>
        <w:t>L'appelant, qui succombe entièrement, supportera les frais de la procédure d'appel (art. 428 CPP), qui comprennent un émolument de jugement de CHF 3'000.- (art. 14 let. e du Règlement fixant le tarif des frais en matière pénale du 22 décembre 2010 [RTFMP ; E 4 10.03]).</w:t>
      </w:r>
    </w:p>
    <w:p>
      <w:r>
        <w:rPr>
          <w:b/>
        </w:rPr>
        <w:t>E. 7</w:t>
      </w:r>
    </w:p>
    <w:p>
      <w:r>
        <w:t>7.1 Les frais imputables à l'assistance gratuite sont des débours (art. 422 al. 2 let. a in fine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auquel renvoie l'art. 138 CPP, pour statuer sur l'activité postérieure à sa saisine, le 25 novembre 2014. 7.2.1 Le conseil juridique gratuit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7.2.2 Selon l'art. 16 al. 1 RAJ, l'indemnité due à l'avocat en matière pénale est notamment calculée selon le tarif horaire suivant, débours de l'étude inclus : collaborateur CHF 125.- (let. b) et chef d'étude CHF 200.- (let. c), la TVA étant versée en sus. Le conseil juridique gratuit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La CPAR s'est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est allouée pour les démarches diverses, tels la rédaction de courriers ou notes, les entretiens téléphoniques et la lecture de communications, pièces et décisions, sous réserve d'exceptions possibles.</w:t>
      </w:r>
    </w:p>
    <w:p>
      <w:r>
        <w:rPr>
          <w:b/>
        </w:rPr>
        <w:t>E. 7.3</w:t>
      </w:r>
    </w:p>
    <w:p>
      <w:r>
        <w:t>En l'espèce, l'état de frais et honoraires de M e C______, comprenant 2h30 d'activité est adéquat et conforme aux principes sus mentionnés. Au vu de ce qui précède, l'indemnisation sera accordée à hauteur de CHF 445.50 (indemnité forfaitaire de 20% [CHF 68.75] et TVA à 8% [CHF 5.50] incluses).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