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P/58/2018 vom 22. Juli 2019</w:t>
      </w:r>
    </w:p>
    <w:p>
      <w:r>
        <w:t>GE Cour de justice, 2019-07-22, FR</w:t>
      </w:r>
    </w:p>
    <w:p>
      <w:r>
        <w:rPr>
          <w:b/>
        </w:rPr>
        <w:t xml:space="preserve">Quelle: </w:t>
      </w:r>
      <w:r>
        <w:t>https://mcp.opencaselaw.ch/entscheid/ge_gerichte_P_58_2018</w:t>
      </w:r>
    </w:p>
    <w:p>
      <w:r>
        <w:t>FR: GE_GERICHTE P/58/2018 du 22 juillet 2019</w:t>
      </w:r>
    </w:p>
    <w:p>
      <w:r>
        <w:t>IT: GE_GERICHTE P/58/2018 del 22 luglio 2019</w:t>
      </w:r>
    </w:p>
    <w:p>
      <w:pPr>
        <w:pStyle w:val="Heading2"/>
      </w:pPr>
      <w:r>
        <w:t>Regeste</w:t>
      </w:r>
    </w:p>
    <w:p>
      <w:r>
        <w:t>ADMINISTRATION DES PREUVES ; APPRÉCIATION DES PREUVES ; ACTE D'ORDRE SEXUEL SUR UN INCAPABLE DE DISCERNEMENT ; ALCOOL ; ERREUR SUR LES FAITS(DROIT PÉNAL) ; FIXATION DE LA PEINE ; SURSIS PARTIEL À L'EXÉCUTION DE LA PEINE ; EXPULSION(DROIT DES ÉTRANGERS) ; TORT MORAL ; DÉFENSE D'OFFICE | CP.191; CPP.140; CPP.141; CPP.158; CPP.10.al3; CP.13.al1; CP.47; CP.19; CP.49; CP.43; CP.66a1.al4; CO.49; CPP.135</w:t>
      </w:r>
    </w:p>
    <w:p>
      <w:pPr>
        <w:pStyle w:val="Heading2"/>
      </w:pPr>
      <w:r>
        <w:t>Erwägungen</w:t>
      </w:r>
    </w:p>
    <w:p>
      <w:r>
        <w:rPr>
          <w:b/>
        </w:rPr>
        <w:t>E. 1</w:t>
      </w:r>
    </w:p>
    <w:p>
      <w:r>
        <w:t>L'appel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140 al. 1 CPP, les moyens de contrainte, le recours à la force, les menaces, les promesses, la tromperie et les moyens susceptibles de restreindre les facultés intellectuelles ou le libre arbitre sont interdits dans l'administration des preuves. Ces méthodes sont interdites même si la personne concernée a consenti à leur mise en oeuvre (al. 2). Il faut notamment proscrire l'épuisement, la privation d'aliments ou d'eau, le recours à des produits alcoolisés ou stupéfiants dans le but de plonger le prévenu dans un état second, l'hypnose, les électrochocs, etc. (L. MOREILLON/A. PAREIN-REYMOND, Petit commentaire du CPP , 2 ème éd., Bâle 2016, no 4 ad art. 140 et les références citées). 2.1.2. L'art. 141 CPP précise que les preuves administrées en violation de l'art. 140 CPP ne sont, en aucun cas, exploitables (al. 1), à moins que leur utilisation soit indispensable pour élucider des infractions graves (al. 2). 2.1.3. La procédure pénale contient des dispositions sur les méthodes d'administration des preuves interdites (art. 140 CPP) et sur l'exploitation des moyens de preuves obtenus illégalement (art. 141 CPP). Elle ne règle en revanche pas de manière explicite dans quelle mesure ces dispositions s'appliquent quand les moyens de preuve sont récoltés, non pas par les autorités, mais par des personnes privées (arrêts du Tribunal fédéral 6B_911/2017 du 27 avril 2018 consid. 1.1 ; 1B_76/2016 du 30 mars 2016 consid. 2.2). Dans une telle situation, il n'existe donc pas d'interdiction de principe de les exploiter (arrêt du Tribunal fédéral 1B_76/2016 du 30 mars 2016 consid. 2.1). Cela étant, selon la jurisprudence, de tels moyens de preuve sont uniquement exploitables si, cumulativement, ils auraient pu être obtenus par les autorités de poursuite pénale conformément à la loi et si une pesée des intérêts en présence justifie leur exploitation (arrêt du Tribunal fédéral 6B_911/2017 du 27 avril 2018 consid. 1.1 et les références). En tout état de cause, au stade de l'instruction, il convient de ne constater l'inexploitabilité de ce genre de moyen de preuve que dans des cas manifestes (arrêt du Tribunal fédéral 1B_234/2018 du 27 juillet 2018 consid. 3.1 et les références). 2.1.4. Le législateur a exclu de vider les litiges relatifs aux preuves illégales avant le renvoi en justice du prévenu,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 ; ACPR/109/2014 du 26 février 2014 consid. 3.4). Toutefois, le Tribunal fédéral a également réaffirmé que le principe de la bonne foi en procédure oblige celui qui constate un vice affectant le déroulement de celle-ci à le signaler aussitôt, sans attendre l'issue de la procédure (arrêts du Tribunal fédéral 6B_71/2016 du 5 avril 2017 consid. 2.1.3 ; 6B_1066/2013 du 27 février 2014 consid. 3.2). 2.1.5. Selon l'art. 158 al. 1 CPP, au début de la première audition, la police ou le ministère public informent le prévenu dans une langue qu'il comprend qu'une procédure préliminaire est ouverte contre lui (let. a). Le prévenu doit être informé, de manière générale et selon l'état actuel de la procédure, de l'acte délictueux qui lui est reproché. À cet égard, il ne s'agit pas d'en opérer une description au sens des dispositions pénales, mais de relever les circonstances concrètes de l'acte reproché (ATF 141 IV 20 consid. 1.3.3 p. 29 et les références). Les auditions effectuées sans que ces informations aient été données ne sont pas exploitables (art. 158 al. 2 CPP ; arrêt du Tribunal fédéral 6B_249/2017 du 17 janvier 2018 consid. 2.2.1).</w:t>
      </w:r>
    </w:p>
    <w:p>
      <w:r>
        <w:rPr>
          <w:b/>
        </w:rPr>
        <w:t>E. 2.2</w:t>
      </w:r>
    </w:p>
    <w:p>
      <w:r>
        <w:t>L'appelant conclut, pour la première fois au stade de l'appel, à ce que ses déclarations orales du 1 er janvier 2018 à la police et aux médecins du CURML soient déclarées inexploitables et retirées du dossier.</w:t>
      </w:r>
    </w:p>
    <w:p>
      <w:r>
        <w:rPr>
          <w:b/>
        </w:rPr>
        <w:t>E. 2.2.1</w:t>
      </w:r>
    </w:p>
    <w:p>
      <w:r>
        <w:t>Selon les premières, il n'avait pas entretenu de relation sexuelle avec D______, très alcoolisée et inconsciente, mais l'avait aidée. Ces déclarations ne sont pas mentionnées dans le jugement attaqué. Elles n'ont donc pas été prises en considération. La juridiction d'appel peine ainsi à déterminer l'intérêt de l'appelant à les faire écarter de la procédure, ce d'autant qu'il les a reprises et précisées le lendemain, entendu par la police dans des conditions dont il est admis qu'elles étaient conformes aux dispositions du CPP, soit alors qu'il n'était plus sous l'effet de l'alcool, avait été informé de ses droits et bénéficiait au surplus de l'assistance de son avocat et d'un interprète. Il a alors confirmé n'avoir pas pu entretenir une relation sexuelle avec une femme qui aurait été inconsciente à ce moment-là, puis a donné une version détaillée du déroulement des faits. Comme les premiers juges, la CPAR ne tiendra pas compte de ses premières déclarations orales. L'appelant rappelle ensuite son état d'alcoolisation au moment de faire les déclarations incriminées mais n'allègue pas que les policiers l'auraient amené à consommer de l'alcool. Ceux-ci ont, au contraire, ajourné l'audition de l'appelant au lendemain, vu son état. Leur audition n'a d'ailleurs pas été requise. Aucune violation de l'art. 140 CPP n'est donc intervenue.</w:t>
      </w:r>
    </w:p>
    <w:p>
      <w:r>
        <w:rPr>
          <w:b/>
        </w:rPr>
        <w:t>E. 2.2.2</w:t>
      </w:r>
    </w:p>
    <w:p>
      <w:r>
        <w:t>Le jour de son arrestation, dès 16h30, l'appelant a déclaré aux médecins du CURML qu'il s'était rendu dans une chambre où il s'était trouvé en présence de D______, qu'il cherchait. Elle n'avait plus de pantalon ni de culotte et son haut était relevé. Alors qu'il avait commencé à la rhabiller, il avait été surpris par la locataire de l'appartement, qui avait suspecté une agression sexuelle, inexistante. Ultérieurement, l'appelant a indiqué ne pas se souvenir de ce qu'il avait dit aux médecins. Ces propos sont les premiers à avoir été mentionnés dans le jugement entrepris, les juges précédents ayant eux-mêmes relevé l'absence d'interprète, d'information de l'appelant sur ses droits et le renvoi de l'audition formelle au lendemain. Ils ont uniquement retenu que, par la suite, l'appelant avait donné deux autres explications des circonstances dans lesquelles il s'était retrouvé avec D______ dans la chambre, pour finir par indiquer qu'il ne s'en souvenait pas. Ces déclarations ont été faites à des experts commis par le MP et non dans le cadre d'une audition au sens de l'art. 78 CPP. L'audition des médecins n'a pas été requise. L'appelant, dont il a été constaté qu'il était capable de discernement (0.64 g/kg d'alcool dans le sang), a été dûment informé de la nature de leur mandat, a donné son accord à son exécution et à la transmission de ses résultats au MP. Il a également autorisé l'accès à son dossier médical des HUG. Selon la jurisprudence (ATF 144 I 253 ), les déclarations faites à un expert n'ont pas la même portée que celles recueillies conformément à l'art. 157 CPP. Elles font partie du dossier de l'expert et de son rapport et ne peuvent pas, à elles seules, fonder la culpabilité, mais restent néanmoins exploitables dans la mesure indiquée ci-dessus. Leur valeur probante est limitée. Pour ces motifs, les deux incidents sont rejetés.</w:t>
      </w:r>
    </w:p>
    <w:p>
      <w:r>
        <w:rPr>
          <w:b/>
        </w:rPr>
        <w:t>E. 3</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En matière d'appréciation des preuves, il est admissible d'examiner le comportement des protagonistes avant et après l'acte sexuel, dès lors qu'il peut être révélateur de ce qu'ils ont effectivement vécu (arrêt du Tribunal fédéral 6B_735/2007 du 24 janvier 2008 consid. 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w:t>
      </w:r>
    </w:p>
    <w:p>
      <w:r>
        <w:rPr>
          <w:b/>
        </w:rPr>
        <w:t>E. 4</w:t>
      </w:r>
    </w:p>
    <w:p>
      <w:r>
        <w:t>4.1.1.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p. 56 ss). Si l'inaptitude n'est que partielle - par exemple en raison d'un état d'ivresse - la victime, simplement désinhibée, n'est pas incapable de résistance (ATF 133 IV 49 consid. 7.2 p. 56 et les références ; arrêts du Tribunal fédéral 6B_996/2017 du 7 mars 2018 consid. 1.1; 6B_60/2015 du 25 janvier 2016 consid. 1.1.1.).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6B_60/2015 du 25 janvier 2016 consid. 1.1.3).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 er mai 2014 consid. 4.1.1). 4.1.2.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 6B_455/2016 , 6B_489/2016 , 6B_490/2016 ,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4.1.3.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Il n'y a pas d'infraction à l'art. 191 CP si l'auteur est convaincu, à tort, que la personne est capable de discernement ou de résistance au moment de l'acte (arrêts du Tribunal fédéral 6B_996/2017 du 7 mars 2018 consid. 1.1 ; 6B_60/2015 du 25 janvier 2016 consid. 1.2.1).</w:t>
      </w:r>
    </w:p>
    <w:p>
      <w:r>
        <w:rPr>
          <w:b/>
        </w:rPr>
        <w:t>E. 4.2</w:t>
      </w:r>
    </w:p>
    <w:p>
      <w:r>
        <w:t>Globalement, l'état de frais déposé par le conseil juridique gratuit de la partie plaignante est conforme aux principes rappelés ci-dessus. L'indemnité sera arrêtée à CHF 3'879.90, correspondant à 1h00 heure d'activité au tarif de CHF 200.-/heure, 20h00 au tarif de CHF 150.-/heure, CHF 75.- de déplacement, la majoration forfaitaire de 10% et l'équivalent de la TVA au taux de 7.7% en CHF 277.40. * * * * *</w:t>
      </w:r>
    </w:p>
    <w:p>
      <w:r>
        <w:rPr>
          <w:b/>
        </w:rPr>
        <w:t>E. 5.1</w:t>
      </w:r>
    </w:p>
    <w:p>
      <w:r>
        <w:t>A teneur de l'art. 115 al. 1 LEI,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w:t>
      </w:r>
    </w:p>
    <w:p>
      <w:r>
        <w:rPr>
          <w:b/>
        </w:rPr>
        <w:t>E. 5.2</w:t>
      </w:r>
    </w:p>
    <w:p>
      <w:r>
        <w:t>L'appelant n'a pas indiqué à la juridiction d'appel les motifs pour lesquels il contestait s'être rendu coupable de séjour illégal. Il a néanmoins admis expressément devant les premiers juges séjourner à Genève depuis le 8 mai 2015, sans jamais avoir obtenu un titre de séjour. Il a d'ailleurs ajouté avoir conscience de l'irrégularité de sa situation administrative. Un tel comportement étant constitutif d'infraction à l'art. 115 al. 1 let. b LEI, le verdict de culpabilité prononcé à son encontre sera confirmé.</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6.1.2.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CP peuvent cependant être ordonnées (al. 3). Si l'auteur pouvait éviter l'irresponsabilité ou la responsabilité restreinte et prévoir l'acte qu'il a commis en cet état, les al. 1 à 3 ne sont pas applicables (al. 4).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(cf. Message du 21 septembre 1998 concernant la modification du code pénal suisse [dispositions générales, entrée en vigueur et application du code pénal] et du code pénal militaire ainsi qu'une loi fédérale régissant la condition pénale des mineurs, FF 1999 II 1813 ch. 212.42 ; arrêt du Tribunal fédéral 6B_616/2015 du 5 avril 2016 consid. 2.3). Selon la jurisprudence, une concentration d'alcool de 2 à 3 g/kg entraîne une présomption de diminution de responsabilité, alors qu'une concentration inférieure à 2 g/kg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 6.1.3.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w:t>
      </w:r>
    </w:p>
    <w:p>
      <w:r>
        <w:rPr>
          <w:b/>
        </w:rPr>
        <w:t>E. 6.2</w:t>
      </w:r>
    </w:p>
    <w:p>
      <w:r>
        <w:t>A juste titre, les premiers juges ont retenu que l'appelant s'en est pris à l'intégrité sexuelle de sa victime, dans des conditions particulièrement sordides, afin de satisfaire ses envies du moment, de sorte que son mobile est des plus égoïstes. Il a encore séjourné en Suisse sans autorisation durant plusieurs années, faisant fi des règles en la matière. Sa faute doit être qualifiée de très grave, compte tenu d'une responsabilité pénale pleine et entière et de l'absence de circonstances atténuantes, son alcoolisation, dont il était vraisemblablement coutumier, n'ayant joué qu'un rôle désinhibiteur. Retenant un taux d'alcoolémie de l'appelant supérieur à 2 g/kg, les premiers juges ont admis, sans expertise, une diminution légère à moyenne de sa responsabilité. Or, la jurisprudence précise que la présomption peut être renversée s'il existe des indices contraires suffisants le permettant, ce qui est le cas en l'espèce. Il convient de rappeler que le taux d'alcoolémie de l'appelant lors des faits n'est supérieur à 2 g/kg que s'il n'a pas bu entre son départ de l'appartement et son arrestation, ce que l'on ignore, étant relevé qu'il a été filmé dans le bus tenant dans ses mains une bouteille d'alcool fort dont il s'est ensuite débarrassé, ce qui suggère à tout le moins qu'il en a consommé tout ou partie du contenu. Ceci étant, et même si l'on retient un taux d'alcool présumant une diminution de responsabilité, force est de constater que plusieurs indices conduisent au renversement de la présomption, ce que les premiers juges ont d'ailleurs eux-mêmes partiellement retenu. Il ressort en effet des déclarations de l'appelant et des témoins que celui-ci a porté la victime, insisté pour rester seul avec elle, obtenu du lubrifiant, entretenu une relation sexuelle, bloqué la porte avec un frigo, tenté de s'opposer à l'entrée de la locataire et de ses enfants, quitté les lieux avant d'y revenir chercher des effets personnels et pris le bus dans lequel il a été capable de se déplacer. A son arrivée chez sa mère, celle-ci n'a pas constaté de comportement particulier faisant penser à une ivresse avancée. Enfin, l'appelant a lui-même affirmé qu'il savait parfaitement ce qu'il faisait, sa mémoire des faits pertinents n'ayant, selon lui, pas été altérée. Ainsi, malgré une certaine alcoolisation, il a tenu des propos et adopté un comportement parfaitement cohérents, montrant qu'il était en possession de toutes ses facultés, malgré l'effet désinhibiteur de l'alcool. Il avait donc la capacité pleine et entière d'apprécier le caractère illicite de ses actes et de se déterminer d'après cette appréciation. Aucune diminution de responsabilité n'est donc retenue. Il y a concours d'infractions au sens de l'art. 49 al. 1 CP, ce qui justifie une augmentation de la peine de l'infraction la plus grave, en l'occurrence celle venant sanctionner la violation de l'art. 191 CP. Au surplus, sa situation personnelle ne saurait expliquer son comportement. Même si elle est précaire sur le plan administratif, l'appelant n'en avait pas moins un lieu de vie à Genève chez sa mère, suivait une formation et était aidé financièrement, ce qui aurait dû au moins l'amener à se conduire correctement. Sa collaboration à l'enquête a été mauvaise. Il s'est contenté de prétendre que sa victime avait pris l'initiative d'entretenir avec lui une relation sexuelle, ce qui n'est pas concevable, vu l'état de coma éthylique dans lequel elle se trouvait. Il n'a pas pris conscience du caractère répréhensible de ses actes et n'a formulé aucune excuse envers la partie plaignante. Il n'a pas d'antécédent judiciaire, facteur neutre en l'espèce (ATF 136 IV 1 consid. 2.6.4), tout comme son jeune âge, qui n'était pas en soi un élément favorisant le passage à l'acte. Au vu de ce qui précède, il se justifie de condamner l'appelant à une peine privative de liberté de trois ans, sous déduction de la détention préventive subie. L'appel joint du MP sera par conséquent admis sur ce point. Le sursis partiel est acquis à l'appelant. Il sera tenu compte de ce que celui-ci a exécuté la partie ferme de la peine prononcée par les premiers juges, a été libéré et a repris sa formation, pour ne pas le renvoyer en prison pour six mois supplémentaires. Le pronostic d'avenir n'étant pas concrètement défavorable, l'on peut considérer la peine subie comme suffisamment dissuasive. Le délai d'épreuve de trois ans sur le solde de peine est adéquat et d'ailleurs non discuté en appel.</w:t>
      </w:r>
    </w:p>
    <w:p>
      <w:r>
        <w:rPr>
          <w:b/>
        </w:rPr>
        <w:t>E. 7</w:t>
      </w:r>
    </w:p>
    <w:p>
      <w:r>
        <w:t>7.1.1. Les dispositions sur l'expulsion ne s'appliquent qu'aux infractions commises à partir du 1 er octobre 2016. Les antécédents judiciaires antérieurs au 1 er octobre 2016 sont pris en considération, y compris les antécédents de droit pénal des mineurs ( AARP/185/2017 du 2 juin 2017 consid. 2.1 ; AARP/119/2017 du 20 mars 2017 consid. 4.1 ; AARP/179/2017 du 30 mai 2017 consid. 3.1.2). 7.1.2. 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 Ainsi, l'art. 66a CP prévoit l'expulsion " obligatoire "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oeuvre de l'initiative sur le renvoi, questions choisies et premières jurisprudences , in Forumpoenale 5/2017 p. 315 ; G. FIOLKA / L. VETTERLI, Die Landesverweisung in Art. 66a ff StGB als strafrechtliche Sanktion , in Plädoyer 5/2016 p. 84). 7.1.3. L'art. 66a al. 2 CP définit une " Kannvorschrift ",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donc que cette mesure mette l'étranger dans une " situation personnelle grave " et que l'intérêt public soit de peu d'importance, c'est-à-dire que l'intérêt public à l'expulsion ne l'emporte pas sur l'intérêt privé de l'étranger à demeurer en Suisse (arrêts du Tribunal fédéral 6B_612/2018 du 22 août 2018 consid. 2.1 ; 6B_296/2018 du 13 juillet 2018 consid. 3.2 ; 6B_1299/2017 du 10 avril 2018 consid. 2.1 ; M. BUSSLINGER / P. UEBERSAX, op. cit. , p. 96 ss ; A. BERGER, Umsetzungs-gesetzgebung zur Ausschaffungsinitiative , in Jusletter 7 août 2017 n. 6.1 p. 20).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6B_1027/2018 du 7 novembre 2018 consid. 1.3 ; 6B_724/2018 du 30 octobre 2018 consid. 2.3.2 et les références).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144 IV 332 , consid. 3.3.2).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Pour pouvoir invoquer l'art. 8 CEDH,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w:t>
      </w:r>
    </w:p>
    <w:p>
      <w:r>
        <w:rPr>
          <w:b/>
        </w:rPr>
        <w:t>E. 7.2</w:t>
      </w:r>
    </w:p>
    <w:p>
      <w:r>
        <w:t>En l'occurrence, l'appelant a été reconnu coupable d'infraction à l'art. 191 CP, ce qui constitue un cas d'expulsion obligatoire au sens de l'art. 66a al. 1 let. h CP. L'appelant est majeur. Son plus proche parent se trouvant en Suisse est sa mère, avec laquelle la relation semble effective et régulière, sans toutefois entrer dans la définition de la famille nucléaire au sens de la jurisprudence citée ci-dessus. A cela s'ajoute que ni l'appelant ni les membres de sa famille présents à Genève ne disposent de la moindre autorisation de séjour, lequel est donc illégal. Ces personnes n'ont donc aucun droit de rester en Suisse et pourraient rentrer dans leur pays d'origine sans difficulté, ce que la mère de l'appelant avait admis, avant de se rétracter devant la juridiction d'appel pour les besoins de la cause, rétractation dépourvue de crédibilité. L'appelant, qui n'est pas né ni n'a grandi en Suisse, ne s'y trouve que depuis le 8 mai 2015, soit un peu plus de deux ans et demi avant les faits. Il a passé l'essentiel de l'année 2018 en prison dans le cadre de la présente procédure. Il est au début d'une formation de paysagiste qui doit durer quatre ou cinq ans et dépend pour son entretien de sa mère et d'une association. Né et scolarisé au Honduras, pays dont il parle la langue, l'appelant est en mesure d'y retourner et de s'y intégrer. Selon les éléments fournis en appel, la fille de l'appelant et sa mère auraient émigré aux Etats-Unis. L'on ignore s'ils y bénéficient d'une autorisation de résidence. En tout état, l'appelant n'a pas en Suisse une intégration notablement supérieure à la moyenne. Au vu de ce qui précède, il ne peut se prévaloir d'une ingérence dans sa vie privée au sens de l'art. 8 CEDH et de la jurisprudence citée ci-dessus. Même si l'on devait admettre que l'appelant a fait l'objet, en 2014, de menaces au Honduras, ce qui l'aurait contraint à quitter l'école dans laquelle il étudiait, force est de constater qu'il n'est venu en Suisse que huit mois plus tard. Si la CPAR ne méconnait pas la situation difficile qui prévaut au Honduras, rien n'indique aujourd'hui que l'exécution de la mesure d'expulsion ordonnée par les premiers juges mettrait concrètement en danger la vie ou l'intégrité corporelle de l'appelant. Ladite mesure ne consacre donc pas une violation de l'art. 3 CEDH. Cas échéant, il appartiendra à l'autorité d'exécution de la mesure d'examiner, en temps utile, s'il existe une impossibilité objective de renvoi (art. 66d al. 1 CP). En définitive, le retour de l'appelant dans son pays d'origine n'aurait pas pour effet de le placer dans une situation personnelle grave au sens de l'art. 66a al. 2 CP. L'appelant ne saurait par ailleurs arguer du risque qu'il encourt dans son pays pour rester en Suisse. Alors qu'il a la chance d'y vivre, fusse illégalement, et d'y bénéficier d'une formation, il a commis un crime grave, passible de dix ans de prison, au cours d'une soirée durant laquelle son comportement a été inadmissible. Il a porté atteinte à la liberté et à l'intégrité sexuelle de sa victime, soit à l'un des principaux biens juridiques protégés par la loi. Sa faute est d'une grande gravité et il a été condamné à une peine privative de liberté conséquente. Ainsi, même s'il n'a pas d'antécédents judiciaires, l'intérêt public à son renvoi prime clairement son intérêt à rester en Suisse. Enfin, la mesure d'expulsion n'a été ordonnée que pour cinq ans, soit le minimum prévu par la loi. La décision des premiers juges, justifiée et respectant le principe de proportionnalité, doit être confirmée.</w:t>
      </w:r>
    </w:p>
    <w:p>
      <w:r>
        <w:rPr>
          <w:b/>
        </w:rPr>
        <w:t>E. 8.1</w:t>
      </w:r>
    </w:p>
    <w:p>
      <w:r>
        <w:t>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w:t>
      </w:r>
    </w:p>
    <w:p>
      <w:r>
        <w:rPr>
          <w:b/>
        </w:rPr>
        <w:t>E. 8.2</w:t>
      </w:r>
    </w:p>
    <w:p>
      <w:r>
        <w:t>L'appelant n'a pas remis en cause le principe ni le montant de l'indemnité allouée à la partie plaignante en raison du tort moral subi du fait de ses agissements délictueux. Comme les premiers juges, la CPAR retient que la partie plaignante a été victime d'une atteinte grave à sa liberté et à son intégrité sur le plan sexuel. Même si elle n'a pas de souvenir des faits, il ressort de ses déclarations, de celles de sa mère et rapports médicaux figurant à la procédure qu'elle présente encore actuellement d'importants symptômes de stress post-traumatique, tels que repli sur soi, méfiance vis-à-vis des autres, insomnies, cauchemars, etc. Elle est par ailleurs toujours suivie par un psychologue. La gravité des souffrances subies justifie la condamnation de l'appelant à indemniser le tort causé. Le montant alloué par les premiers juges est adéquat, vu la nature de l'infraction commise. Leur décision est ainsi confirmée. 9. L'appelant, qui succombe sur l'essentiel, supportera 80% des frais de la procédure d'appel, comprenant un émolument de CHF 3'000.-, le solde étant laissé à la charge de l'Etat (art. 428 CPP). Ses conclusions en indemnisation de la détention avant jugement seront rejetées (art. 429 CPP).</w:t>
      </w:r>
    </w:p>
    <w:p>
      <w:r>
        <w:rPr>
          <w:b/>
        </w:rPr>
        <w:t>E. 10</w:t>
      </w:r>
    </w:p>
    <w:p>
      <w:r>
        <w:t>10.1.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10.4.1. Divers postes de l'état de frais déposé par le défenseur d'office de l'appelant sont injustifiés et seront déduits. Il s'agit, pour le chef d'étude, de 3h40 pour la rédaction de l'annonce d'appel, de la déclaration d'appel, pour " l'analyse " de la déclaration d'appel joint du MP (bref courrier) et des recherches juridiques, prestations couvertes par le forfait pour activités diverses, lequel est de 10% (et non 20%), compte tenu de l'activité indemnisée en première instance. La CPAR s'interroge par ailleurs sur les 9h30 facturées pour la confection d'un chargé de pièces et la préparation de l'audience et de la plaidoirie d'appel, dans la mesure où le chef d'étude était excusé aux débats par sa collaboratrice, laquelle a facturé 7h50 partiellement pour les mêmes prestations. 12h00 de prestations seront ainsi considérées comme suffisantes pour le chef d'étude. Les prestations de la collaboratrice, représentant 14h00, sont conformes aux principes rappelés ci-dessus et seront allouées, le forfait étant ici également de 10%. S'ajoutent la TVA à 7.7%, CHF 75.- de déplacement et les débours effectifs par CHF 731.55. L'indemnité sera arrêtée à CHF 6'151.55 correspondant à 12h00 heures d'activité au tarif de CHF 200.-/heure, 14h00 d'activité au tarif de CHF 150.-/heure, CHF 75.- de déplacement, la majoration forfaitaire de 10%, l'équivalent de la TVA au taux de 7.7% en CHF 387.50 et les débours effectifs.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