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P/5873/2021 vom 25. Februar 2022</w:t>
      </w:r>
    </w:p>
    <w:p>
      <w:r>
        <w:t>GE Cour de justice, 2022-02-25, FR</w:t>
      </w:r>
    </w:p>
    <w:p>
      <w:r>
        <w:rPr>
          <w:b/>
        </w:rPr>
        <w:t xml:space="preserve">Quelle: </w:t>
      </w:r>
      <w:r>
        <w:t>https://mcp.opencaselaw.ch/entscheid/ge_gerichte_P_5873_2021</w:t>
      </w:r>
    </w:p>
    <w:p>
      <w:r>
        <w:t>FR: GE_GERICHTE P/5873/2021 du 25 février 2022</w:t>
      </w:r>
    </w:p>
    <w:p>
      <w:r>
        <w:t>IT: GE_GERICHTE P/5873/2021 del 25 febbraio 2022</w:t>
      </w:r>
    </w:p>
    <w:p>
      <w:pPr>
        <w:pStyle w:val="Heading2"/>
      </w:pPr>
      <w:r>
        <w:t>Regeste</w:t>
      </w:r>
    </w:p>
    <w:p>
      <w:r>
        <w:t>SÉQUESTRE(MESURE PROVISIONNELLE);TIERS;BONNE FOI SUBJECTIVE | CPP.263; CP.70; CP.71</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CPP).![endif]&gt;![if&gt;</w:t>
      </w:r>
    </w:p>
    <w:p>
      <w:r>
        <w:rPr>
          <w:b/>
        </w:rPr>
        <w:t>E. 1.2</w:t>
      </w:r>
    </w:p>
    <w:p>
      <w:r>
        <w:t>Les pièces nouvelles produites devant la Chambre de céans sont admissibles (arrêt du Tribunal fédéral 1B_368/2014 du 5 février 2015 consid. 3.1 et 3.2).</w:t>
      </w:r>
    </w:p>
    <w:p>
      <w:r>
        <w:rPr>
          <w:b/>
        </w:rPr>
        <w:t>E. 2</w:t>
      </w:r>
    </w:p>
    <w:p>
      <w:r>
        <w:t>Encore faut-il, pour que le recours soit recevable, que la recourante dispose de la qualité pour agir, c'est-à-dire qu'elle ait un intérêt juridiquement protégé à la modification ou à l'annulation de la décision querellée (art. 382 al. 1 CPP). Les intimés paraissent le contester.![endif]&gt;![if&gt;</w:t>
      </w:r>
    </w:p>
    <w:p>
      <w:r>
        <w:rPr>
          <w:b/>
        </w:rPr>
        <w:t>E. 2.1</w:t>
      </w:r>
    </w:p>
    <w:p>
      <w:r>
        <w:t>Seule une partie qui a un intérêt juridiquement protégé à l'annulation ou à la modification d'une décision a qualité pour recourir contre celle-ci (art. 382 al. 1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l'art. 115 CPP, l'intéressé doit être titulaire du bien juridiquement protégé touché par l'infraction (arrêt du Tribunal fédéral 1B_678/2011 du 30 janvier 2012, consid. 2.1). Il convient donc d'interpréter le texte de l'infraction pour en déterminer le titulaire et ainsi savoir qui a qualité de lésé (ATF 118 IV 209 consid. 2 p. 211). Pour être directement touché, le lésé doit, en outre, subir une atteinte en rapport de causalité directe avec l'infraction poursuivie, ce qui exclut les dommages par ricochet (arrêt du Tribunal fédéral 1B_294/2013 du 24 septembre 2013 consid. 2.1). S'agissant en particulier d'infractions contre le patrimoine, le propriétaire des valeurs patrimoniales est considéré comme la personne lésée (arrêts 1B_18/2018 du 19 avril 2018 consid. 2.1; 1B_191/2014 du 14 août 2014 consid. 3.1; 1B_104/2013 du 13 mai 2013 consid. 2.2).</w:t>
      </w:r>
    </w:p>
    <w:p>
      <w:r>
        <w:rPr>
          <w:b/>
        </w:rPr>
        <w:t>E. 2.2</w:t>
      </w:r>
    </w:p>
    <w:p>
      <w:r>
        <w:t>En l'espèce, la recourante est partie prenante au contrat de consignation conclu en 2016 avec E______ SA, de sorte qu'elle est détentrice du bien juridiquement protégé par l'infraction au moment des actes incriminés. Le fait qu'elle ait ultérieurement fusionné avec la société mandatée par ses soins pour procéder à la livraison de l'or litigieux n'est pas propre à modifier ce raisonnement. Partant, le recours est recevable.</w:t>
      </w:r>
    </w:p>
    <w:p>
      <w:r>
        <w:rPr>
          <w:b/>
        </w:rPr>
        <w:t>E. 3</w:t>
      </w:r>
    </w:p>
    <w:p>
      <w:r>
        <w:t>L'intimé soutient que la Chambre de céans devrait enjoindre au conseil de la recourante de cesser d'occuper en raison d'un prétendu conflit d'intérêts.![endif]&gt;![if&gt; Quand bien même elle est saisie d'un recours contre une décision du Ministère public, la Chambre de céans n'est pas compétente pour statuer sur l'existence d'un éventuel conflit d'intérêts qui empêcherait M e Adrian DAN d'assister la recourante, faute de décision préalable du Ministère public sur ce point. Le 14 avril 2022, l'intimé a du reste adressé sa requête au Ministère public, à qui il appartiendra de se déterminer sur la question.</w:t>
      </w:r>
    </w:p>
    <w:p>
      <w:r>
        <w:rPr>
          <w:b/>
        </w:rPr>
        <w:t>E. 4.1</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 cf. art. 71 al. 1 CP renvoyant à l'art. 70 al. 2 CP; arrêts du Tribunal fédéral 1B_213/2013 du 27 septembre 2013 consid. 4.1; 1B_583/2012 du 31 janvier 2013 consid. 2.1 et les références citées).![endif]&gt;![if&gt;</w:t>
      </w:r>
    </w:p>
    <w:p>
      <w:r>
        <w:rPr>
          <w:b/>
        </w:rPr>
        <w:t>E. 4.2</w:t>
      </w:r>
    </w:p>
    <w:p>
      <w:r>
        <w:t>En raison de l'atteinte portée aux droits fondamentaux des personnes visées, le séquestre suppose le respect des conditions générales fixées à l'art. 197 CPP. Conformément à cette disposition, toute mesure de contrainte doit être prévue par la loi (al. 1 let. a), doit répondre à l'existence de soupçons suffisants laissant présumer une infraction (al. 1 let. b), doit respecter le principe de la proportionnalité (al. 1 let. c) et doit apparaître justifiée au regard de la gravité de l'infraction (al. 1 let. d). Si la mesure porte atteinte aux droits fondamentaux de personnes qui n'ont pas le statut de prévenu, une retenue particulière doit être observée (art. 197 al. 2 CPP). 4.3.1. Le séquestre probatoire prévu par l'art. 263 al. 1 let. a CPP consiste en la mise sous main de la justice des objets ou valeurs patrimoniales découverts au cours de l'enquête et permettant la manifestation de la vérité dans le procès pénal; la protection et la conservation de ces objets sont ainsi garanties (L. MOREILLON / A. PAREIN-REYMOND, CPP, Code de procédure pénale , Bâle 2016, n. 6 ad art. 263). 4.3.2. La restitution au lésé (art. 263 al. 1 let. c CPP) vise, en première ligne, les objets provenant directement du patrimoine du lésé, qui doit être identifié, et tend au rétablissement de ses droits absolus.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 4.3.3. Le séquestre prévu par l'art. 263 al. 1 let. d CPP a pour but de préparer la confiscation au sens des art. 69 et 70 CP. Selon cette dernière disposition,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 paper trail " ne peut plus être reconstitué, le juge en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ss. et les nombreuses références citées).</w:t>
      </w:r>
    </w:p>
    <w:p>
      <w:r>
        <w:rPr>
          <w:b/>
        </w:rPr>
        <w:t>E. 4.4</w:t>
      </w:r>
    </w:p>
    <w:p>
      <w:r>
        <w:t>Selon la jurisprudence,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(arrêt du Tribunal fédéral 1B_22/2017 du 24 mars 2017 consid. 3.1). Cependant, pour qu'un séquestre puisse être refusé au stade de la procédure préliminaire,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et les références citées).</w:t>
      </w:r>
    </w:p>
    <w:p>
      <w:r>
        <w:rPr>
          <w:b/>
        </w:rPr>
        <w:t>E. 4.5</w:t>
      </w:r>
    </w:p>
    <w:p>
      <w:r>
        <w:t>En l'espèce, il est reproché à l'intimé, en sa qualité d'administrateur de E______ SA, à la suite de la conclusion d'un contrat de consignation avec la recourante, de s'être approprié sans droit une partie de l'or, voire la totalité de l'or consigné appartenant à cette dernière, en l'utilisant à son profit ou à celui d'un tiers, et de lui avoir ainsi causé un dommage. L'intimé soutient que le contrat n'avait jamais été appliqué entre les parties de sorte qu'il était en droit d'" utiliser " l'or remis par la recourante, ce qu'il avait fait " tout de suite ". Il affirme que les biens et valeurs séquestrés ne proviendraient pas de l'or remis par la recourante, lequel avait été " sorti " avant 2020. Or, il ressort du fichier produit par la recourante que nombre des bijoux figurant sur les photographies transmises au Ministère public par l'intimée auraient été présentés à une employée de la recourante, début 2021, comme ayant été conçus au moyen de l'or fourni par cette dernière. Il en allait de même de certains bijoux devant être restitués à l'intimé pour le compte de F______ SA, et dont la description correspondait aussi à des photographies prises par ladite employée. Enfin, toujours en 2021, l'intimé avait lui-même transmis à la recourante des photographies de bijoux et autres pièces contenant de l'or remis par cette dernière. Ainsi, les récentes dénégations de l'intimé quant à l'existence d'un lien entre l'or remis par la recourante et les biens séquestrés ne permettent pas de discréditer, à ce stade, la thèse de cette dernière, ce d'autant qu'il ressort de l'état des stocks du 27 octobre 2021, que l'intégralité de l'or litigieux se trouvait toujours, à cette date, en possession de E______ SA et que l'intimé admet lui-même ne pas avoir pu identifier les biens saisis lors de la perquisition. Au vu de ce qui précède, il existe des indices suffisants que les biens saisis aient été fabriqués, à tout le moins en partie, au moyen de l'or litigieux, et qu'ils soient donc le produit de l'infraction. Ainsi, ces bijoux pourraient être confisqués en application de l'article 70 al. 1 CP, voire en vue de l'exécution d'une créance compensatrice (art. 71 al. 1 et 3 CP). Il appartiendra à l'instruction, qui ne fait que commencer, de répondre à ces interrogations. En outre, l'on ne saurait considérer que la bonne foi de l'intimée serait, pour l'heure, clairement et définitivement établie au sens des articles 70 al. 2 CP et 71 al. 1 CP. En effet, les pièces produites, qui se limitent à la production des déclarations fiscales 2014 et 2016 du couple faisant état d'une fortune mobilière, sans autre justification, ne permettent pas de retenir un droit préférentiel de cette dernière sur les bijoux litigieux. En outre, le fait qu'elle les ait portés ou encore que les bijoux se trouvaient, lors de la perquisition, dans un sac où était inscrit son prénom ne sont pas des éléments suffisants qui justifierait une levée de la mesure, qui plus est eu égard aux liens affectifs unissant les intimés. Il appartiendra donc au Ministère public et au juge du fond d'instruire, respectivement, de trancher ces questions. Il en va de même s'agissant de la restitution de biens en faveur de F______ SA, le Ministère public n'expliquant pas les raisons du traitement différencié appliqué aux 201 biens qui appartiendraient, selon l'intimé à ladite société, et dont seulement 14 auraient dû lui être restitués aux termes de l'ordonnance querellée. Les précisions apportées par l'intimé en réplique ne sauraient être, en l'état, considérées comme suffisantes, dès lors que l'on ne distingue pas à quel bien se rapportent les documents produits. En tout état, le précité a expliqué pouvoir prouver, au moyen de la documentation qui lui a été restituée après la levée des scellés, un éventuel droit de propriété de tiers sur les biens saisis. Il se justifie donc d'attendre la production de ces preuves avant d'envisager une levée, même partielle, de la mesure. Enfin, s'agissant des biens et valeurs qui appartiendraient aux enfants des intimés, force est de conclure, vu les considérations qui précèdent, qu'ils ne sauraient leur être restitués à ce stade de la procédure. Il en va de même de l'argent devant servir à rémunérer les services de la femme de ménage. Les conditions d'un séquestre portant sur l'intégralité des biens et valeurs saisis le 8 février 2022 sont par conséquent réunies à ce stade de l'instruction, laquelle ne fait que débuter.</w:t>
      </w:r>
    </w:p>
    <w:p>
      <w:r>
        <w:rPr>
          <w:b/>
        </w:rPr>
        <w:t>E. 5</w:t>
      </w:r>
    </w:p>
    <w:p>
      <w:r>
        <w:t>Fondé, le recours doit être admis. Partant, l'ordonnance querellée sera annulée. ![endif]&gt;![if&gt;</w:t>
      </w:r>
    </w:p>
    <w:p>
      <w:r>
        <w:rPr>
          <w:b/>
        </w:rPr>
        <w:t>E. 6</w:t>
      </w:r>
    </w:p>
    <w:p>
      <w:r>
        <w:t>L'admission du recours ne donne pas lieu à la perception de frais (art. 428 al. 1 CPP). ![endif]&gt;![if&gt;</w:t>
      </w:r>
    </w:p>
    <w:p>
      <w:r>
        <w:rPr>
          <w:b/>
        </w:rPr>
        <w:t>E. 7</w:t>
      </w:r>
    </w:p>
    <w:p>
      <w:r>
        <w:t>La recourante, partie plaignante, obtient gain de cause. Représentée par un avocat, elle n'a toutefois pas chiffré, ni a fortiori justifié, de prétentions en indemnité, au sens de l'art. 433 al. 2 CPP, applicable en instance de recours (art. 436 al. 1 CPP), de sorte que la Chambre de céans ne peut pas entrer en matière sur ce point (art. 433 al. 2, 2ème phrase, CPP ; arrêt du Tribunal fédéral 6B_1345/2016 du 30 novembre 2017 consid. 7).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