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P/5872/2020 vom 30. April 2020</w:t>
      </w:r>
    </w:p>
    <w:p>
      <w:r>
        <w:t>GE Cour de justice, 2020-04-30, FR</w:t>
      </w:r>
    </w:p>
    <w:p>
      <w:r>
        <w:rPr>
          <w:b/>
        </w:rPr>
        <w:t xml:space="preserve">Quelle: </w:t>
      </w:r>
      <w:r>
        <w:t>https://mcp.opencaselaw.ch/entscheid/ge_gerichte_P_5872_2020</w:t>
      </w:r>
    </w:p>
    <w:p>
      <w:r>
        <w:t>FR: GE_GERICHTE P/5872/2020 du 30 avril 2020</w:t>
      </w:r>
    </w:p>
    <w:p>
      <w:r>
        <w:t>IT: GE_GERICHTE P/5872/2020 del 30 aprile 2020</w:t>
      </w:r>
    </w:p>
    <w:p>
      <w:pPr>
        <w:pStyle w:val="Heading2"/>
      </w:pPr>
      <w:r>
        <w:t>Regeste</w:t>
      </w:r>
    </w:p>
    <w:p>
      <w:r>
        <w:t>ABUS D'AUTORITÉ;CURATELLE | CP.219; CP.312; CP.174; CP.156; cpp.310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une violation de son droit d'être entendue et de son droit à un procès équitable. Or,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assuré, le cas échéant, dans le cadre de la procédure de recours contre l'ordonnance de non-entrée en matière (arrêt du Tribunal fédéral 6B_673/2019 du 31 octobre 2019 consid. 2.2 et les arrêts cités). Le grief est dès lors infondé.</w:t>
      </w:r>
    </w:p>
    <w:p>
      <w:r>
        <w:rPr>
          <w:b/>
        </w:rPr>
        <w:t>E. 4</w:t>
      </w:r>
    </w:p>
    <w:p>
      <w:r>
        <w:t>La recourante reproche au Ministère public de ne pas être entré en matière sur sa plainte contre la curatrice.</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4.2</w:t>
      </w:r>
    </w:p>
    <w:p>
      <w:r>
        <w:t>Aux termes de l'art. 219 al. 1 CP est punissable celui qui viole son devoir d'assister ou d'élever une personne dont il met ainsi en danger le développement physique ou psychique, ou qui manque à ce devoir.</w:t>
      </w:r>
    </w:p>
    <w:p>
      <w:r>
        <w:rPr>
          <w:b/>
        </w:rPr>
        <w:t>E. 4.3</w:t>
      </w:r>
    </w:p>
    <w:p>
      <w:r>
        <w:t>L'art. 312 CP réprime le fait pour un membre d'une autorité ou un fonctionnaire d'abuser des pouvoirs de sa charge dans le dessein de se procurer ou de procurer à un tiers un avantage illicite ou de nuire à autrui.</w:t>
      </w:r>
    </w:p>
    <w:p>
      <w:r>
        <w:rPr>
          <w:b/>
        </w:rPr>
        <w:t>E. 4.4</w:t>
      </w:r>
    </w:p>
    <w:p>
      <w:r>
        <w:t>Conformément à l'art. 174 ch. 1 CP, est punissable, sur plainte,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w:t>
      </w:r>
    </w:p>
    <w:p>
      <w:r>
        <w:rPr>
          <w:b/>
        </w:rPr>
        <w:t>E. 4.5</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w:t>
      </w:r>
    </w:p>
    <w:p>
      <w:r>
        <w:rPr>
          <w:b/>
        </w:rPr>
        <w:t>E. 4.6</w:t>
      </w:r>
    </w:p>
    <w:p>
      <w:r>
        <w:t>En l'espèce, en tant que la recourante reprend les faits et arguments exposés dans ses précédentes plaintes pénales contre la curatrice, la Chambre de céans ne peut que maintenir ses précédents considérants (cf. ACPR/929/2019 et ACPR/930/2019 précités). Au demeurant, on ne voit pas quelle conclusion la recourante entend tirer du fait qu'elle n'aurait, selon elle, pas été l'auteur des précédentes plaintes pénales auxquelles se réfère l'ordonnance querellée. Le TPI ayant, à deux reprises, conclu que la curatrice avait agi dans l'intérêt de l'enfant, il n'appartient pas à la Chambre de céans de revoir le bien-fondé des décisions prises par les autorités civiles. Aucun élément concret ne permet de soupçonner la mise en cause d'avoir " fraudé " l'expertise familiale, dont elle n'est pas l'auteur. On ne voit pas quelle disposition pénale la curatrice aurait violée en faisant part à l'expert de son avis en faveur d'un transfert de la garde de l'enfant au père, si tant est que ce fait soit avéré. Les autorités civiles ayant constaté que le danger, allégué par la recourante, n'était pas rendu vraisemblable, s'agissant de la reprise des contacts entre l'enfant et ses grands-parents paternels, on ne voit pas quelle infraction pénale pourrait avoir commise la mise en cause. La médiation étant un processus qui requiert l'adhésion des deux parties en cause, l'éventuel refus de la curatrice ne saurait constituer une infraction pénale. Le grief relatif à l'infraction de calomnie paraît tardif (art. 31 CP), la recourante se référant à des faits anciens, étant relevé que le fait, pour la curatrice, de soupçonner la recourante " d'aliénation " - c'est-à-dire vraisemblablement de présenter un syndrome d'aliénation parentale -, ne paraît pas susceptible de porter atteinte à l'honneur de celle-ci. L'allégation selon laquelle la curatrice aurait essayé de la faire passer pour une personne " abjecte ", n'est en outre pas étayée. Enfin, si l'on devait comprendre des allégations de la recourante qu'elle s'estime contrainte par la curatrice de " payer " une somme d'argent pour voir sa fille, elle ne fournit aucun élément tangible en faveur d'un quelconque soupçon d'extorsion, au sens de l'art. 156 CP. Faute de prévention pénale suffisante, c'est ainsi à bon droit que le Ministère public a renoncé à entrer en matière.</w:t>
      </w:r>
    </w:p>
    <w:p>
      <w:r>
        <w:rPr>
          <w:b/>
        </w:rPr>
        <w:t>E. 4.7</w:t>
      </w:r>
    </w:p>
    <w:p>
      <w:r>
        <w:t>Les actes d'instruction sollicités par la recourante, en particulier l'audience de confrontation avec la mise en cause, ne sont pas propres à modifier ces constatations.</w:t>
      </w:r>
    </w:p>
    <w:p>
      <w:r>
        <w:rPr>
          <w:b/>
        </w:rPr>
        <w:t>E. 5</w:t>
      </w:r>
    </w:p>
    <w:p>
      <w:r>
        <w:t>La recourante reproche au Ministère public d'avoir refusé de la mettre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serait indigente, il a été jugé ci-dessus que ses griefs étaient manifestement infondés. Il s'ensuit que c'est à bon droit que sa demande d'assistance judiciaire a été rejetée.</w:t>
      </w:r>
    </w:p>
    <w:p>
      <w:r>
        <w:rPr>
          <w:b/>
        </w:rPr>
        <w:t>E. 6</w:t>
      </w:r>
    </w:p>
    <w:p>
      <w:r>
        <w:t>La recourante sollicite le bénéfice de l'assistance judiciaire devant la Chambre de céans. Le recours étant toutefois dénué de toute chance de succès, sa requête ne peut qu'être rejetée, pour les mêmes raisons que celles exposées au précédent considérant.</w:t>
      </w:r>
    </w:p>
    <w:p>
      <w:r>
        <w:rPr>
          <w:b/>
        </w:rPr>
        <w:t>E. 7</w:t>
      </w:r>
    </w:p>
    <w:p>
      <w:r>
        <w:t>Justifiée, l'ordonnance querellée sera donc confirmée.</w:t>
      </w:r>
    </w:p>
    <w:p>
      <w:r>
        <w:rPr>
          <w:b/>
        </w:rPr>
        <w:t>E. 8</w:t>
      </w:r>
    </w:p>
    <w:p>
      <w:r>
        <w:t>La recourante, qui succombe, supportera les frais envers l'État, qui seront fixés en totalité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