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P/5872/2017 vom 15. Juli 2019</w:t>
      </w:r>
    </w:p>
    <w:p>
      <w:r>
        <w:t>GE Cour de justice, 2019-07-15, FR</w:t>
      </w:r>
    </w:p>
    <w:p>
      <w:r>
        <w:rPr>
          <w:b/>
        </w:rPr>
        <w:t xml:space="preserve">Quelle: </w:t>
      </w:r>
      <w:r>
        <w:t>https://mcp.opencaselaw.ch/entscheid/ge_gerichte_P_5872_2017</w:t>
      </w:r>
    </w:p>
    <w:p>
      <w:r>
        <w:t>FR: GE_GERICHTE P/5872/2017 du 15 juillet 2019</w:t>
      </w:r>
    </w:p>
    <w:p>
      <w:r>
        <w:t>IT: GE_GERICHTE P/5872/2017 del 15 luglio 2019</w:t>
      </w:r>
    </w:p>
    <w:p>
      <w:pPr>
        <w:pStyle w:val="Heading2"/>
      </w:pPr>
      <w:r>
        <w:t>Regeste</w:t>
      </w:r>
    </w:p>
    <w:p>
      <w:r>
        <w:t>DÉTENTION DE STUPÉFIANTS;RECEL;OBTENTION FRAUDULEUSE D'UNE PRESTATION</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 déclarations contre déclarations »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 M. NIGGLI / M. HEER / H. WIPRÄCHTIGER [éds], Strafprozess-ordnung / Jugendstrafprozessordnung , Basler Kommentar StPO/JStPO, 2 ème éd., Bâle 2014, n. 83 ad art. 10). Le juge doit en particulier se forger une conviction aussi bien sur les premières déclarations du prévenu, ou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 Rien ne s'oppose non plus à ce que le juge ne retienne qu'une partie des déclarations d'un témoin globalement crédible (ATF 120 Ia 31 consid. 3 ; arrêt du Tribunal fédéral 6B_637/2012 du 21 janvier 2013 consid. 5.4). 2.1.2. Le principe in dubio pro reo susmentionné (art. 10 al. 3 CPP), concerne tant le fardeau de la preuve que l'appréciation des preuves au sens large (ATF 144 IV 345 ; ATF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L'absence de doute à l'issue de l'appréciation des preuves exclut la violation de la présomption d'innocence en tant que règle sur le fardeau de la preuve (ATF 144 IV 345 consid. 2.2).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 ; ATF 138 V 74 consid. 7 ; ATF 127 I 38 consid. 2a ; ATF 124 IV 86 consid. 2a ; arrêts du Tribunal fédéral 6B_634/2018 du 22 août 2018 consid. 2.1 ; 6B_1306/2017 du 17 mai 2018 consid. 2.1.1). 2.2.1. L'art. 19 al. 1 LStup punit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publiquement, incite à la consommation de stupéfiants ou révèle des possibilités de s'en procurer ou d'en consommer (let. f) et celui qui prend des mesures aux fins de commettre une des infractions visées aux let. a à f (let. g). L'art. 19 al.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 ème éd., Berne 2010, n. 60 p. 909). Il faut encore que l'auteur projette d'accomplir lui-même l'une des infractions prévues aux lettres a à f en tant qu'auteur ou coauteur (ATF 130 IV 131 consid. 2.2.2). Celui qui n'envisage pas de commettre un tel acte ne prend pas de mesures à cette fin puisqu'il ne tente ni ne prépare l'une des infractions en question. Il est au plus complice de celui qu'il aide à commettre un des actes prévus à l'art. 19 al. 1 let. a à g LStup (ATF 133 IV 187 consid. 3.2 ; ATF 130 IV 131 consid. 2.2.2 ; arrêts du Tribunal fédéral 228/2018 du 22 août 2018 consid. 4.1 ; 6B_1422/2017 du 5 juin 2018 consid. 6.1 ; 6B_1335/2016 du</w:t>
      </w:r>
    </w:p>
    <w:p>
      <w:r>
        <w:rPr>
          <w:b/>
        </w:rPr>
        <w:t>E. 2.3</w:t>
      </w:r>
    </w:p>
    <w:p>
      <w:r>
        <w:t>Celui qui, sans bourse délier, aura frauduleusement obtenu une prestation qu'il savait ne devoir être fournie que contre paiement, notamment celui qui se sera servi d'un ordinateur ou d'un appareil automatique (art. 150 CP) est passible, sur plainte, d'une peine pécuniaire ou d'une peine privative de liberté de trois ans au plus. Pour retenir une absence de paiement, il suffit que l'auteur ne paie pas entièrement ce qu'il doit (B. CORBOZ, op. cit. , vol. I, 3 ème éd., Berne 2010, n. 9 p. 361). 2.4.1. L'art. 160 ch. 1 CP sanctionne celui qui aura acquis, reçu en don ou en gage, dissimulé ou aidé à négocier une chose dont il savait ou devait présumer qu'un tiers l'avait obtenue au moyen d'une infraction contre le patrimoine. Au plan objectif, l'infraction de recel suppose une chose obtenue au moyen d'une infraction contre le patrimoine, notion qui s'entend de manière large et englobe toute infraction dirigée contre le patrimoine d'autrui (ATF 127 IV 79 consid. 2a et b). Le point de savoir si l'auteur de l'infraction préalable a été poursuivi ou puni est sans pertinence. Il suffit que l'acte initial réalise les éléments constitutifs objectifs et subjectifs d'une infraction dirigée contre le patrimoine d'autrui (ATF 101 IV 402 consid. 2 ; arrêts du Tribunal fédéral 6B_1124/2014 du 22 septembre 2015 consid. 2.1). Comme en matière de blanchiment (art. 305 bis CP), la preuve stricte de l'acte préalable n'est pas exigée (arrêt du Tribunal fédéral 6B_728/2010 du 1 er mars 2011 consid. 2.2). La qualification exacte de l'acte préalable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du Tribunal fédéral 6B_641/2017 du 1 er juin 2018 consid. 1.1). Le recel ne peut porter que sur la chose qui est directement issue de l'infraction préalable, à l'exclusion de tout substitut ou bien de remploi, à défaut de prétention du lésé sur le substitut ou le bien de remploi (ATF 116 IV 193 consid. 3).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Il y a acquisition lorsque l'auteur acquiert un pouvoir de disposition propre sur la chose (arrêt du Tribunal fédéral 6B_793/2007 du 18 mars 2008 consid. 4.1). L'auteur du recel doit, par l'acquisition de la chose, obtenir une détention de la chose et un pouvoir de disposition effectif propre sur celle-ci (ATF 128 IV 23 consid. 3c).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 er mars 2011 consid. 2.2). Il en va ainsi lorsque les circonstances suggèrent le soupçon de la provenance délictueuse (ATF 129 IV 230 consid. 5.3.2 et les références à ATF 119 IV 242 consid. 2b ; ATF 101 IV 402 consid. 2 ; arrêt du Tribunal fédéral 6B_641/2017 du 1er juin 2018 consid. 1.1). 2.4.2. Selon l'art. 172 ter al. 1 CP, applicable aux infractions du titre 2 de la partie spéciale du Code pénal,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 ter al. 1 CP (ATF 123 IV 113 consid. 3d ; ATF 121 IV 261 consid. 2c). La limite jusqu'à laquelle cette disposition est applicable a été fixée à CHF 300.- (ATF 142 IV 129 consid. 3.1 ; ATF 123 IV 113 consid. 3d). 2.5.1. En l'espèce, l'ADN des deux prévenus a été retrouvé sur les 21,7 grammes de drogue contenus dans la chaussette, pour l'un à l'extérieur du sachet et pour l'autre à l'intérieur et sur le noeud, ce qui indique que tous deux l'ont manipulée. Les 56.3 et 21.7 grammes de cocaïne ont le même profil chimique, indice fort d'une même provenance. Aucun profil ADN de tiers n'a été mis en évidence. Le produit de coupage et le matériel de conditionnement se trouvaient en évidence dans la pièce principale et dans la cuisine. Ainsi, outre de la cocaïne à un taux de pureté relativement élevé, l'appartement contenait le nécessaire pour la confection de celle-ci en vue de sa vente à des consommateurs. Les deux prévenus ont admis avoir eu accès à l'appartement en question les jours ayant précédé leur arrestation et avoir été les seuls à s'y rendre dans ce même laps de temps. De plus, l'appelant a été vu entrer et sortir à plusieurs reprises de l'appartement et y demeurer plusieurs heures. Il se trouvait depuis en tout cas une heure dans le logement lorsqu'il a été interpellé. Ils avaient donc tous deux la maîtrise effective de l'appartement et de l'ensemble de ce qu'il s'y trouvait. Peu importe que A______ ait contesté y dormir. Ce qu'il y faisait précisément n'est pas de nature à modifier le raisonnement qui précède. Les factures du numéro d'appel 4______ ne mentionnent que les appels sortants et non les appels entrants, de sorte que l'on ne saurait en déduire que l'appelant n'a reçu aucun appel et qu'il n'aurait donc pas été contacté par des toxicomanes, étant rappelé que, dans son journal d'appels émis, plusieurs sont reliés à des consommateurs de cocaïne, selon le rapport de renseignements du 11 mars 2017. 2.5.2. L'appelant a varié dans ses déclarations sur l'ensemble des faits qui lui sont reprochés, à l'exception de l'infraction de séjour illégal, d'emblée reconnue. Sa crédibilité est donc limitée. Aucune crédibilité ne peut être allouée à la rétractation de l'aveu concernant les 56.3 grammes bruts, dans la mesure où l'appelant était assisté d'un conseil, lequel a expressément requis la tenue d'une audience supplémentaire, son client souhaitant revenir sur ses déclarations. Il faut donc retenir que la décision de concéder cet aveu était murement réfléchie et non uniquement la conséquence d'un mauvais conseil donné par d'autres détenus. 2.5.3. Il n'est pas indispensable d'évaluer la crédibilité de E______, dans la mesure où les éléments objectifs du dossier, ainsi que les déclarations de l'appelant suffisent pour confirmer le verdict de culpabilité retenu par le premier juge. Ce d'autant plus que le premier juge n'a pas cru davantage aux propos de E______ qu'à ceux de l'appelant puisque le verdict de culpabilité est le même pour les deux prévenus et porte sur l'ensemble de la drogue retrouvée dans l'appartement. 2.5.4. Au vu des éléments qui précèdent, il est établi que A______, de concert avec E______, détenait dans l'appartement perquisitionné près de 75 grammes brut de cocaïne d'un taux de pureté oscillant entre 43 et 50%, soit plus de 18 grammes de substance pure. De toute évidence, les deux prévenus avaient la maîtrise effective sur l'ensemble de la drogue retrouvée et non sur une partie de celle-ci seulement. La composition chimique est identique pour deux lots, signe d'une même provenance et leurs ADN ont été sur partie des stupéfiants. Il ne fait aucun doute que les prévenus se préparaient à conditionner la drogue en vue de sa vente à des toxicomanes, l'appartement contenant tout le nécessaire à cet effet (produit de coupage et matériel). Partant, l'infraction grave à la LStup est bien réalisée (art. 19 al. 1 let. d et g et 19 al. 2 let. a) et l'appel sera rejeté sur ce point.</w:t>
      </w:r>
    </w:p>
    <w:p>
      <w:r>
        <w:rPr>
          <w:b/>
        </w:rPr>
        <w:t>E. 2.6</w:t>
      </w:r>
    </w:p>
    <w:p>
      <w:r>
        <w:t>L'appelant a reconnu avoir été en possession et avoir utilisé la carte SIM relative au numéro 4______ obtenue suite à la falsification du permis de séjour de D______, lequel lui avait été dérobé (plainte pénale a été déposée pour ces faits). Il a prétendu avoir de bonne foi considéré qu'il pouvait effectuer des communications gratuites à destination de la Guinée depuis la Suisse, le vendeur lui ayant affirmé que la carte SIM était congolaise. De telles déclarations sont dénuées de toute crédibilité. Les cartes SIM indiquent le nom de l'opérateur, sans préjudice de ce que le numéro était un numéro Suisse ce que son utilisateur savait nécessairement. Il n'est d'ailleurs pas crédible que des communications émises depuis la Suisse avec une carte SIM congolaise le soient sans frais, au vu des tarifs de roaming international élevés. Dans ces circonstances, il faut retenir que l'appelant savait - à tout le moins ne pouvait ignorer - que la carte SIM avait été obtenue au moyen d'une infraction contre le patrimoine. Par conséquent, le premier juge l'a condamné à juste titre pour recel d'une importance mineure (art. 160 ch. 1 CP cum art. 172 ter al. 1 CP), la valeur de la carte SIM étant inférieure à CHF 300.-. L'appelant avait pleinement conscience qu'en effectuant des communications internationales pendant plus de 19h00 à destination de la Guinée, dans un laps de temps limité, au moyen d'une carte SIM suisse acquise pour CHF 50.- (auprès d'un tiers et non de l'opérateur), il obtenait frauduleusement une prestation dont il n'avait aucune intention de payer le prix, de sorte qu'il s'est bien rendu coupable d'infraction à l'art. 150 CP. L'argument du soi-disant paiement de CHF 50.- tombe en tout état à faux, puisque cette somme aurait servi à l'acquisition de la carte SIM et non au paiement des télécommunications. La décision entreprise sera confirmée en ce sens. 3. 3.1. Les infractions selon chacune des hypothèses de l'art. 19 al. 1 LStup, ici let. d et g, ainsi que celle à l'art. 150 CP sont passibles d'une peine privative de liberté de trois ans au plus ou d'une peine pécuniaire. La peine privative de liberté est d'un an au moins en cas d'infraction à l'art. 19 al. 2 LStup. À teneur de l'art. 115 al. 1 let. b LEI sera puni d'une peine privative de liberté d'un an au plus ou d'une peine pécuniaire, quiconque séjourne illégalement en Suisse. Le recel d'une importance mineure est sanctionné d'une amende (art. 160 ch. 1 cum art. 172 ter CP).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l'absence d'antécédents ayant, en principe, un effet neutre sur la fixation de la peine et n'ayant donc pas à être prise en considération dans un sens atténuant (ATF 141 IV 61 consid. 6.3.2),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3.2.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3.3. En matière de trafic de stupéfiants, il y a lieu de tenir compte, plus spécialement, des circonstances suivantes : Même si la quantité de la drogue ne joue pas un rôle prépondérant, elle constitue sans conteste un élément important (arrêt du Tribunal fédéral 6B_843/2014 du 7 avril 2015 consid. 1.1.1 et les références citées).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3.4. Au vu de la quantité de cocaïne en cause, d'un taux de pureté relativement élevé (entre 40 et 50%), de la manipulation et de la conservation de cette drogue, la faute de l'appelant apparaît conséquente. Ce d'autant plus que son rôle ne s'est pas limité à la détention, mais qu'il a pris les mesures préparatoires à sa vente disposant du matériel nécessaire à son conditionnement. Ces mêmes éléments dénotent une intense volonté délictuelle. On ne discerne pas pour quel autre motif que l'appât du gain l'appelant a agi ainsi, au mépris de la santé des consommateurs. La collaboration de l'appelant à la procédure est mauvaise. Il a varié à plusieurs reprises quant à son implication, niant tout lien avec la drogue retrouvée ou admettant la détention d'une partie, pour finalement, devant les autorités de jugement, contester à nouveau intégralement les faits. Sa prise de conscience est dès lors inexistante. Les éléments qui précèdent imposent de confirmer le choix du genre de peine pour les infractions aux art. 150 CP et 115 al. 1 let. b LEI, que l'appelant n'a d'ailleurs pas critiqué. En effet, la peine pécuniaire ne saurait entrer en considération, faute d'effet dissuasif. L'appelant a fait preuve d'une imperméabilité complète aux sanctions pécuniaires déjà prononcées, dont les peines privatives de liberté de substitution ont été exécutées. Il a poursuivi son comportement délictuel sans amendement aucun. L'appelant a un antécédent spécifique en matière de trafic de drogue. Il y a concours entre les infractions retenues ce qui justifie de prononcer une peine privative de liberté aggravée. Les actes abstraitement les plus graves au sens de l'art. 49 al. 1 CP sont ceux qualifiés d'infraction à l'art. 19 al. 1 et 2 LStup. Aussi, la CPAR juge appropriée - à vrai dire très clémente, mais l'interdiction de la reformatio in pejus l'empêche de davantage explorer cette question - une peine privative de liberté de 12 mois en relation avec cette infraction, soit la peine minimale. A ces douze mois s'ajouteront trois mois afin de tenir compte du concours avec les autres infractions (art. 150 CP et 115 al. 1 let. b LEI), d'où une peine privative de liberté globale de 15 mois. Partant, la sanction de 15 mois de peine privative de liberté prononcée par le premier juge consacre une application correcte des critères fixés aux art. 47 et 49 CP et tient compte de manière adéquate, voire clémente, de la gravité de sa faute et de sa situation personnelle. Le recel d'une importance mineure (art. 160 ch. 1 CP cum art. 172 ter al. 1 CP) est sanctionné d'une amende. La CPAR juge appropriée une contravention de CHF 400.- en relation avec cette infraction. 4. 4.1. Conformément à l'art. 66a al. 1 let. o CP, le juge expulse un étranger du territoire suisse pour une durée de cinq à quinze ans s'il est reconnu coupable d'infraction à l'art. 19 al. 2 LStup,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4.2. L'appelant ayant été reconnu coupable d'infraction à l'art. 19 al. 2 LStup, son expulsion est obligatoire au sens de l'art. 66a al. 1 CP, ce qui n'est pas contesté dans le cas d'une confirmation du verdict de culpabilité. Les conditions d'une renonciation exceptionnelle à l'expulsion ne sont de toute évidence pas remplies, à défaut d'un lien quelconque avec la Suisse (art. 66a al. 2 CP) et ne sont d'ailleurs pas plaidées. 4.3. Partant, la décision entreprise sera confirmée sur ce point légalement.</w:t>
      </w:r>
    </w:p>
    <w:p>
      <w:r>
        <w:rPr>
          <w:b/>
        </w:rPr>
        <w:t>E. 5</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6</w:t>
      </w:r>
    </w:p>
    <w:p>
      <w:r>
        <w:t>2. Au vu de ce qui précède, en particulier de la confirmation du verdict de culpabilité, la répartition des frais de première instance ne sera pas revue (art. 428 al. 3 CPP).</w:t>
      </w:r>
    </w:p>
    <w:p>
      <w:r>
        <w:rPr>
          <w:b/>
        </w:rPr>
        <w:t>E. 6.1</w:t>
      </w:r>
    </w:p>
    <w:p>
      <w:r>
        <w:t>L'appelant, qui succombe, supportera les frais de la procédure envers l'État (art. 428 CPP).</w:t>
      </w:r>
    </w:p>
    <w:p>
      <w:r>
        <w:rPr>
          <w:b/>
        </w:rPr>
        <w:t>E. 7</w:t>
      </w:r>
    </w:p>
    <w:p>
      <w:r>
        <w:t>Compte tenu de l'issue de la procédure, il n'y a pas lieu d'entrer en matière sur les conclusions de l'appelant en restitution (art. 69 CP). Le jugement entrepris sera confirmé sur ce point.</w:t>
      </w:r>
    </w:p>
    <w:p>
      <w:r>
        <w:rPr>
          <w:b/>
        </w:rPr>
        <w:t>E. 8</w:t>
      </w:r>
    </w:p>
    <w:p>
      <w:r>
        <w:t>8.1.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et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le temps consacré à la rédaction de la déclaration d'appel est compris dans l'indemnisation forfaitaire, conformément aux critères rappelés ci-dessus. Au regard de la difficulté du dossier et de l'argumentation développée en appel, 08h00 paraissent mieux répondre aux critères d'adéquation et de nécessité s'agissant de la rédaction du mémoire d'appel par la collaboratrice. La rémunération de la défenseure d'office sera ainsi arrêtée à CHF 2'251.- pour 03h30 heure d'activité au tarif de CHF 200.-/heure (CHF 700.-) et 08h00 au tarif de CHF 150.-/heure (CHF 1'200.-), plus la majoration forfaitaire de 10% (CHF 190.-) et la TVA au taux de 7.7% (CHF 161.-).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