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P/5849/2018 vom 12. März 2019</w:t>
      </w:r>
    </w:p>
    <w:p>
      <w:r>
        <w:t>GE Cour de justice, 2019-03-12, FR</w:t>
      </w:r>
    </w:p>
    <w:p>
      <w:r>
        <w:rPr>
          <w:b/>
        </w:rPr>
        <w:t xml:space="preserve">Quelle: </w:t>
      </w:r>
      <w:r>
        <w:t>https://mcp.opencaselaw.ch/entscheid/ge_gerichte_P_5849_2018</w:t>
      </w:r>
    </w:p>
    <w:p>
      <w:r>
        <w:t>FR: GE_GERICHTE P/5849/2018 du 12 mars 2019</w:t>
      </w:r>
    </w:p>
    <w:p>
      <w:r>
        <w:t>IT: GE_GERICHTE P/5849/2018 del 12 marzo 2019</w:t>
      </w:r>
    </w:p>
    <w:p>
      <w:pPr>
        <w:pStyle w:val="Heading2"/>
      </w:pPr>
      <w:r>
        <w:t>Regeste</w:t>
      </w:r>
    </w:p>
    <w:p>
      <w:r>
        <w:t>INTÉRÊT JURIDIQUEMENT PROTÉGÉ ; SOUPÇON ; CLASSEMENT DE LA PROCÉDURE | CPP.382; CPP.310; CPP.123</w:t>
      </w:r>
    </w:p>
    <w:p>
      <w:pPr>
        <w:pStyle w:val="Heading2"/>
      </w:pPr>
      <w:r>
        <w:t>Erwägungen</w:t>
      </w:r>
    </w:p>
    <w:p>
      <w:r>
        <w:rPr>
          <w:b/>
        </w:rPr>
        <w:t>E. 1</w:t>
      </w:r>
    </w:p>
    <w:p>
      <w:r>
        <w:t>La Chambre pénale de recours peut décider d'emblée de traiter sans échange d'écritures ni débats les recours manifestement irrecevables et mal fondés (art. 390 al. 2 et 5 a contrario CPP). Tel est le cas en l'occurrence, au vu des considérations qui suivent.![endif]&gt;![if&gt;</w:t>
      </w:r>
    </w:p>
    <w:p>
      <w:r>
        <w:rPr>
          <w:b/>
        </w:rPr>
        <w:t>E. 2.1</w:t>
      </w:r>
    </w:p>
    <w:p>
      <w:r>
        <w:t>Les actes de recours ont été déposés selon la forme et dans les délais prescrits (art. 385 al. 1 et 396 al. 1 CPP), les formalités de notification (art. 85 al. 2 CPP) n'ayant pas été observées. ![endif]&gt;![if&gt;</w:t>
      </w:r>
    </w:p>
    <w:p>
      <w:r>
        <w:rPr>
          <w:b/>
        </w:rPr>
        <w:t>E. 2.2</w:t>
      </w:r>
    </w:p>
    <w:p>
      <w:r>
        <w:t>Au surplus, il sied d'analyser séparément la recevabilité des recours pour chacune des ordonnances attaquées. i. Le recours contre l'ordonnance de non-entrée en matière ![endif]&gt;![if&gt;</w:t>
      </w:r>
    </w:p>
    <w:p>
      <w:r>
        <w:rPr>
          <w:b/>
        </w:rPr>
        <w:t>E. 2.2.1</w:t>
      </w:r>
    </w:p>
    <w:p>
      <w:r>
        <w:t>Conformément à l'art. 382 al. 1 CPP, seule une partie qui a un intérêt juridiquement protégé à la modification ou à l'annulation de la décision querellée a qualité pour recourir contre celle-ci.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 SJ 2018 I 421 ; arrêt du Tribunal fédéral 6B_818/2018 du 4 octobre 2018 consid. 2.1).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 DCPR/139/2011 du 10 juin 2011).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 Bâle 2016, n. 2 ad art. 382 CPP et les références citées).</w:t>
      </w:r>
    </w:p>
    <w:p>
      <w:r>
        <w:rPr>
          <w:b/>
        </w:rPr>
        <w:t>E. 2.2.2</w:t>
      </w:r>
    </w:p>
    <w:p>
      <w:r>
        <w:t>En l'espèce, le recourant n'a pas d'intérêt juridiquement protégé à la modification ou l'annulation de l'ordonnance de non-entrée en matière ayant mis un terme à la procédure pénale dirigée contre lui par suite de la plainte pénale déposée par B______. Le recours est donc irrecevable sur ce point. Les erreurs dans l'énoncé des faits constituent des erreurs manifestes au sens de l'art. 83 CPP, que le Ministère public, auprès de qui le recourant s'était d'ailleurs justement adressé, devra corriger. ii. Le recours contre l'ordonnance pénale ![endif]&gt;![if&gt;</w:t>
      </w:r>
    </w:p>
    <w:p>
      <w:r>
        <w:rPr>
          <w:b/>
        </w:rPr>
        <w:t>E. 2.2.3</w:t>
      </w:r>
    </w:p>
    <w:p>
      <w:r>
        <w:t>Le recourant, dans son recours contre l'ordonnance de non-entrée en matière partielle, allègue vouloir former " recours " contre l'ordonnance pénale au motif que le Ministère public n'avait pas suffisamment pris en considération que le prévenu était " récidiviste ". Or, la partie plaignante ne peut interjeter recours sur la question de la peine (art. 382 al. 2 CPP). Il s'ensuit que le recours est irrecevable sur ce point également. iii. Le recours contre l'ordonnance de non-entrée en matière partielle ![endif]&gt;![if&gt;</w:t>
      </w:r>
    </w:p>
    <w:p>
      <w:r>
        <w:rPr>
          <w:b/>
        </w:rPr>
        <w:t>E. 2.2.4</w:t>
      </w:r>
    </w:p>
    <w:p>
      <w:r>
        <w:t>En tant que le recourant reproche au Ministère public de ne pas être entré en matière sur certains faits, le recours est recevable.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citées).![endif]&gt;![if&gt;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 Fondation pour la formation continue des juges suisses, Berne 2010, p. 62; DCPR/85/2011 du 27 avril 2011).</w:t>
      </w:r>
    </w:p>
    <w:p>
      <w:r>
        <w:rPr>
          <w:b/>
        </w:rPr>
        <w:t>E. 3.2</w:t>
      </w:r>
    </w:p>
    <w:p>
      <w:r>
        <w:t>En l'espèce, on comprend des écritures du recourant que ce dernier reproche au Ministère public de ne pas avoir retenu les dommages causés à ses lunettes, ainsi que les lésions subies à l'œil et au genou. À teneur de l'ordonnance querellée, le Ministère public a retenu, sur la base de toutes les attestations médicales produites par le recourant, que ce dernier avait subi des lésions à l'arcade sourcilière gauche, à la pommette droite, aux ailes du nez, à la mâchoire à droite, à l'oeil droit et au genou gauche. Il a condamné l'auteur pour lésions corporelles simples, au sens de l'art. 123 CP. Il s'ensuit que le Ministère public est entré en matière sur toutes les lésions subies par le recourant. Il n'y a donc pas eu de non-entrée en matière implicite. Que l'auteur n'ait, de l'avis du recourant, pas été suffisamment puni ne peut être examiné par la Chambre de céans, comme déjà expliqué ci-dessus ( consid. 2.2.3. supra ). Le Ministère public a, en revanche, explicitement écarté l'infraction de dommages à la propriété (art. 144 CP), pour le bris des lunettes du recourant, estimant qu'il n'était pas établi que le prévenu avait volontairement endommagé celles-ci. Il résulte du dossier que le prévenu conteste avoir même vu que le recourant portait des lunettes et suggère qu'elles auraient pu être tombées au moment de la gifle. Le témoin n'a, dans le déroulement des faits auxquels il a eu accès, pas constaté que le prévenu avait écrasé les lunettes du recourant, comme l'allègue celui-ci. Rien ne permet donc de retenir que le prévenu aurait volontairement endommagé ces objets. Aucun acte d'instruction ne serait à même d'apporter des éléments utiles, pas même la confrontation envisagée dans un premier temps par le Ministère public. L'insuffisance de charges étant manifeste, c'est ainsi à juste titre que le Ministère public a retenu que les conditions de l'infraction – qui ne peut être commise qu'intentionnellement – n'étaient pas réalisées. Le prononcé d'une ordonnance de non-entrée en matière – par opposition à un renvoi en jugement – était donc justifié.</w:t>
      </w:r>
    </w:p>
    <w:p>
      <w:r>
        <w:rPr>
          <w:b/>
        </w:rPr>
        <w:t>E. 4</w:t>
      </w:r>
    </w:p>
    <w:p>
      <w:r>
        <w:t>En conséquence, les ordonnances querellées seront confirmées. Le dossier sera néanmoins retourné au Ministère public pour qu'il se prononce sur la demande de rectification de l'ordonnance de non-entrée en matière.![endif]&gt;![if&gt;</w:t>
      </w:r>
    </w:p>
    <w:p>
      <w:r>
        <w:rPr>
          <w:b/>
        </w:rPr>
        <w:t>E. 5</w:t>
      </w:r>
    </w:p>
    <w:p>
      <w:r>
        <w:t>Le recourant, qui succombe, supportera les frais envers l'État, qui seront fixés en totalité à CHF 700.- (art. 428 al. 1 CPP et 13 al. 1 du Règlement fixant le tarif des frais en matière pénale, RTFMP ; E 4 10.03), y compris un émolument de décision.![endif]&gt;![if&gt;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