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P/5830/2015 vom 22. März 2018</w:t>
      </w:r>
    </w:p>
    <w:p>
      <w:r>
        <w:t>GE Cour de justice, 2018-03-22, FR</w:t>
      </w:r>
    </w:p>
    <w:p>
      <w:r>
        <w:rPr>
          <w:b/>
        </w:rPr>
        <w:t xml:space="preserve">Quelle: </w:t>
      </w:r>
      <w:r>
        <w:t>https://mcp.opencaselaw.ch/entscheid/ge_gerichte_P_5830_2015</w:t>
      </w:r>
    </w:p>
    <w:p>
      <w:r>
        <w:t>FR: GE_GERICHTE P/5830/2015 du 22 mars 2018</w:t>
      </w:r>
    </w:p>
    <w:p>
      <w:r>
        <w:t>IT: GE_GERICHTE P/5830/2015 del 22 marzo 2018</w:t>
      </w:r>
    </w:p>
    <w:p>
      <w:pPr>
        <w:pStyle w:val="Heading2"/>
      </w:pPr>
      <w:r>
        <w:t>Regeste</w:t>
      </w:r>
    </w:p>
    <w:p>
      <w:r>
        <w:t>CLASSEMENT DE LA PROCÉDURE ; ABUS DE CONFIANCE ; CERTIFICAT D'ACTIONS ; FAUX DANS LES CERTIFICATS | CPP.319; CP.138; CP.251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CPP).![endif]&gt;![if&gt;</w:t>
      </w:r>
    </w:p>
    <w:p>
      <w:r>
        <w:rPr>
          <w:b/>
        </w:rPr>
        <w:t>E. 2</w:t>
      </w:r>
    </w:p>
    <w:p>
      <w:r>
        <w:t>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lorsqu'il est établi que certaines conditions à l'ouverture de l'action pénale ne peuvent pas être remplies ou que des empêchements de procéder sont apparus (let. d). ![endif]&gt;![if&gt; La décision de classer la procédure doit être prise en application du principe in dubio pro duriore . Ce principe vaut également pour l'autorité judiciaire chargée de l'examen d'une décision de classement. Il signifie qu'en règle générale,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toutefois admises au stade du classement, dans le respect du principe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(ATF 143 IV 241 consid. 2.3.2 p. 244 et les références citées).</w:t>
      </w:r>
    </w:p>
    <w:p>
      <w:r>
        <w:rPr>
          <w:b/>
        </w:rPr>
        <w:t>E. 3</w:t>
      </w:r>
    </w:p>
    <w:p>
      <w:r>
        <w:t>Les recourants considèrent que la feuille de présence du 8 janvier 2009 et les certificats d'action du 23 mars 2010 sont des faux dans les titres. 3.1.1.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tant le faux matériel, qui consiste dans la fabrication d'un titre faux ou la falsification d'un titre, que le faux intellectuel, qui consiste dans la constatation d'un fait inexact, en ce sens que la déclaration contenue dans le titre ne correspond pas à la réalité (arrêt du Tribunal fédéral 6B_589/2009 du 14 septembre 2009 consid. 2.1). Pour qu'une déclaration mensongère soit punissable comme faux intellectuel, il faut que le document ait une valeur probante plus grande que dans l'hypothèse d'un faux matériel (ATF 121 IV 131 consid. 2c); on parle de " valeur probante accrue ". L'art. 110 al. 4 CP définit les titres comme les écrits destinés et propres à prouver un fait ayant une portée juridique et tous les signes destinés à prouver un tel fait. Dans la casuistique liée à cette disposition, un certificat d'action qui atteste que les actions ont été entièrement libérées constitue un titre (ATF 103 IV 269 consid 1 = JdT 1979 IV 46). 3.1.2. L'art. 251 CP doit être appliqué de manière restrictive (ATF 117 IV 35 consid. 1d). Un document mensonger n'acquiert pas un caractère probant prépondérant du seul fait que quelqu'un le destine subjectivement à servir de preuve ou par le seul fait qu'il soit produit en justice. Si tel était le cas, toutes les pièces mensongères qui tomberaient en possession de la justice deviendraient alors automatiquement des faux intellectuels (arrêt du Tribunal fédéral 6P.15/2007 du 19 avril 2007 consid. 8.2.1). Il est donc indispensable que la valeur probante du document réponde également à des critères objectifs (Message concernant la modification du code pénal suisse et du code pénal militaire (infractions contre le patrimoine et faux dans les titres) du 24 avril 1991, in FF 1991 II 933 ss, p. 961-962). Le faux intellectuel vise l'établissement d'un titre qui émane de son auteur apparent, mais qui est mensonger dans la mesure où son contenu ne correspond pas à la réalité (AF 142 IV 119 consid. 2.1 ; ATF 138 IV 130 consid. 2.1 ; ATF 126 IV 65 consid. 2a). Il est admis qu'un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capacité accrue de convaincre, parce qu'il présente des garanties objectives de la véridicité de son contenu. Pour que le mensonge soit punissable comme faux intellectuel, il faut que le document ait une valeur probante plus grande que dans l'hypothèse d'un faux matériel ("valeur probante accrue").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142 IV 119 consid. 2.1 et les références ; ATF 138 IV 130 consid. 2.1 ; arrêts du Tribunal fédéral 6B_55/2017 du 24 mars 2017 consid. 2.2 ; 6B_117/2015 du 11 février 2016 consid. 2.4.1). Tel est le cas lorsque certaines assurances objectives garantissent aux tiers la véracité de la déclaration. Il peut s'agir, par exemple, d'un devoir de vérification qui incombe à l'auteur du document ou encore de l'existence de dispositions légales comme les art. 662a ss CO ou 958 ss CO, qui définissent le contenu du document en question (ATF 132 IV 12 consid. 8.1 et 129 IV 130 consid. 2.1).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(ATF 126 IV 65 consid. 2a ; 125 IV 273 consid. 3a ; arrêt du Tribunal fédéral 6B_589/2009 du 14 septembre 2009 consid. 2.1.1). 3.1.3.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 L'avantage recherché, respectivement l'atteinte, doit précisément résulter de l'usage du titre faux, respectivement mensonger (ATF 141 IV 369 consid. 7.4 p. 377 ; 138 IV 130 consid. 3.2.4 p. 141 et les références citées ; arrêt du Tribunal fédéral 6B_496/2017 du 24 janvier 2018 consid. 2.2). L'avantage est une notion très large. Il peut être matériel ou immatériel. Il suffit que l'auteur veuille améliorer sa situation ou celle d'un tiers (arrêt du Tribunal fédéral 6B_651/2011 du 20 février 2012 consid. 4.5). Son illicéité peut résulter de la loi, du but poursuivi ou du moyen utilisé. Elle peut donc être déduite du seul fait que l'auteur recourt à un faux (arrêts du Tribunal fédéral 6B_441/2016 du 29 mars 2017 consid. 6.2 et 6B_367/2007 du 10 octobre 2007 consid. 4.4 non publié in ATF 133 IV 303 ). 3.1.4. 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 3.1.5. À l'art. 251 CP, l'intention implique que l'auteur doit être conscient que le document est un titre. Il doit savoir que le contenu ne correspond pas à la vérité. Enfin, l'auteur doit vouloir utiliser le titre en le faisant passer pour véridique dans les relations juridiques, ce qui présuppose l'intention de tromper (ATF 141 IV 369 consid. 7.4 p. 377 ; 135 IV 12 consid. 2.2). 3.2.1. En l'occurrence, la feuille de présence à l'assemblée générale extraordinaire du 8 janvier 2009 ne trouve son fondement dans aucune norme impérative du Code des obligations et ne constitue pas un document comportant une valeur probante accrue. C'est un simple rapport de présence à usage interne qui ne revêtait aucune obligation de véracité quant à son contenu et n'était pas destiné, ni propre, à prouver un fait ayant une portée juridique. Ainsi, n'ayant pas valeur de titre, le fait que, selon les recourants, le contenu de cette feuille de présence ne correspondrait pas à la réalité ne permet pas d'imputer à son auteur une infraction à l'art. 251 CP. Le classement de la procédure à ce sujet est par conséquent justifié et doit être confirmé. 3.2.2. Il en va autrement des certificats d'actions, ne serait-ce qu'au regard de la jurisprudence citée ci-dessus ainsi que pour les raisons exposées ci-après. Peut exercer des droits vis-à-vis d'une société, la personne qui est légitimée à l'égard de celle-ci. Celui qui dispose de la légitimation formelle est présumé être légitimé matériellement. Selon l'art. 689a al. 2 première phrase CO, qui régit la légitimation formelle de l'actionnaire à l'égard de la société, peut exercer les droits sociaux liés à l'action au porteur quiconque y est habilité comme possesseur en tant qu'il produit l'action ou le certificat en attestant. Cette possession emporte formellement le droit de requérir la convocation d'une assemblée générale, si le possesseur détient au moins 10 % du capital-actions (B. TANNER, Zürcher Kommentar , 2003, no 50 ad art. 699 CO). Il s'ensuit qu'un certificat d'actions, propre à permettre à son porteur d'exercer des droits sociaux, doit être considéré comme un titre. Sa possible falsification est donc pénalement relevante. In casu, la présente procédure n'a pas permis d'établir qu'il existerait effectivement deux certificats d'actions au porteur de 25 actions chacun, un seul ayant été produit en original, et il existe une probabilité pour que ces certificats, contestés, constituent des faux dans la mesure où plusieurs éléments de la procédure autorisent à penser qu'ils ne correspondraient pas à la réalité. Il en va ainsi de la production envers le fisc genevois d'une répartition différente des actions d'I______ SA, à tout le moins jusqu'en 2012, soit postérieurement à la confection des deux certificats litigieux, mais aussi de la déclaration du témoin P______ devant la justice civile, qui parle de la même répartition, contraire auxdits certificats, sans omettre les déclarations du plaignant concerné au premier chef, qui n'a jamais vu les certificats du 23 mars 2010. Il n'était donc pas possible pour le Ministère public de considérer d'emblée que les deux certificats du 23 mars 2010, dont un original manque, n'étaient pas des faux dans les titres. Le classement n'est de ce fait pas justifié. Il n'était pas non plus possible d'étayer ce classement en approuvant la thèse du prévenu selon laquelle les titres au porteur d'une autre société, Q______ LTD, dont on ne sait rien, était détenue par moitié par les deux mêmes actionnaires figurant sur les certificats contestés. Cette comparaison est dénuée de toute pertinence. Le Ministère public a d'ailleurs motivé son classement dans le sens contraire Du principe in dubio pro duriore en affirmant que les explications du prévenu selon lesquelles il avait été décidé de partager les actions d'I______ SA entre les deux personnes les plus familières avec les affaires immobilières et afin de simplifier la gouvernance de cette société " n'apparaissent pas comme insoutenables ": cette seule mention signifie a contrario que la position adoptée par les plaignants peut, elle aussi, être soutenue et implique ainsi un renvoi en jugement. Le recours devra par conséquent être admis sur ce point.</w:t>
      </w:r>
    </w:p>
    <w:p>
      <w:r>
        <w:rPr>
          <w:b/>
        </w:rPr>
        <w:t>E. 4</w:t>
      </w:r>
    </w:p>
    <w:p>
      <w:r>
        <w:t>4.1. Selon l'art. 138 ch. 1 al. 1 CP, commet un abus de confiance celui qui, pour se procurer ou procurer à un tiers un enrichissement illégitime, se sera approprié une chose mobilière appartenant à autrui et qui lui avait été confiée. L'appropriation implique que l'auteur veut, d'une part, la dépossession durable du propriétaire et, d'autre part, qu'il entend s'attribuer la chose, au moins pour un temps; cette volonté doit se manifester par des signes extérieurs. L'auteur incorpore le bien à son patrimoine, pour le garder, le consommer ou l'aliéner. Autrement dit, l'auteur par un comportement objectivement constatable, se conduit comme s'il était le propriétaire de la chose et ceci en violation de l'accord qui lui a permis d'en acquérir la possession (ATF 121 IV 25 consid. 1c). À titre d'exemple, il y a déjà appropriation dès lors que l'auteur offre à la vente la chose confiée et non seulement lorsque la chose est effectivement vendue (M. NIGGLI / H. WIPRÄCHTIGER, Basler Kommentar Strafrecht II : Art. 111-392 StGB , 3e éd., Bâle 2013, n. 104 ad art. 138). Il faut encore que la chose ait été confiée à l'auteur, ce qui signifie qu'elle doit lui avoir été remise ou laissée pour qu'il l'utilise de manière déterminée, selon un accord expresse ou tacite, dans l'intérêt d'autrui, en particulier pour la conserver, l'administrer ou la livrer (ATF 120 IV 276 consid. 2). Il existe entre l'auteur et la victime un rapport de confiance qui permet à l'auteur d'entrer en possession d'une chose et qui détermine l'usage qu'il doit en faire. En violation de ce rapport de confiance, il s'approprie cependant cette chose, en en disposant comme si elle lui appartenait. Il ne suffit pas qu'il la restitue avec retard ou qu'il ne se conforme pas à des conditions posées par l'ayant-droit. Du point de vue subjectif, l'auteur doit agir intentionnellement, avec le dessein de se procurer ou de procurer à un tiers un enrichissement illégitime, qui peut être réalisé par dol éventuel (ATF 118 IV 32 consid. 2a ; ACPR/33/2017 du 27 janvier 2017 consid. 4.1).</w:t>
      </w:r>
    </w:p>
    <w:p>
      <w:r>
        <w:rPr>
          <w:b/>
        </w:rPr>
        <w:t>E. 4.2</w:t>
      </w:r>
    </w:p>
    <w:p>
      <w:r>
        <w:t>Le Ministère public a constaté avec pertinence que la position des plaignants, qui reprochent au prévenu d'avoir détourné des loyers d'I______ SA à l'insu de ses actionnaires pour payer les charges de son étude, n'était étayée pas aucune pièce de la procédure. En effet, le relevé du 1 er octobre 2014 produit par les plaignants qui mentionne que le compte n° 7______ ouvert auprès de O______ SA, dont ils partagent la titularité avec le prévenu, a été crédité le 20 août 2014 d'un montant de CHF 34'300.-, n'est pas propre à démontrer que ces fonds ont été détournés à des fins personnelles. Aucun élément de preuve ne permet d'infirmer les déclarations du prévenu selon lesquelles ce montant correspondrait à un paiement des intérêts hypothécaires de l'ensemble des prêts immobiliers, soit en faveur de tous les anciens associés, ce qui emporte l'absence de dessein d'enrichissement illégitime. Quant à la liste de mouvements décrits comme litigieux par les plaignants dans leur complément de plainte, la seule énumération d'une centaine d'écritures comptables correspondant prétendument à des débits, sans autre explication, ne saurait constituer une preuve à la charge du prévenu de détournement des valeurs patrimoniales revenant aux plaignants. Ainsi, en l'état, les seules pièces probantes au dossier sont celles fournies par le prévenu par lesquelles il a prétendu que le compte d'I______ SA avait été utilisé à plusieurs reprises pour régler des dettes de l'ensemble des anciens associés et non pour s'enrichir personnellement. La situation entre les parties est complexe, dans la mesure où leurs rapports reposent sur des bases peu claires et qu'ils ont duré de nombreuses années, pendant lesquelles elles ont d'abord développé une intense activité pour elles-mêmes, en en confiant une part importante au prévenu, en lien avec plusieurs immeubles au travers de plusieurs sociétés, étant précisé que les plaignants se sont satisfaits de sa gestion pendant de nombreuses années. Leurs reproches apparaissent ainsi principalement dus aux difficultés de mettre fin à leur collaboration, ce que confirment les procédures civiles portant sur la même problématique et ouvertes avant la procédure pénale, davantage qu'à un comportement illicite du prévenu que les plaignants n'ont identifié initialement qu'au travers d'une seule transaction bancaire en 2014, portant sur CHF 34'300.- alors qu'un reversement de cette somme (CHF 34'699.35) a été effectué peu après, n'emportent aucune conviction. Les versements contestés listés ultérieurement, mais sans explication pertinente quant à leur aspect pénal, ne changent rien au fait que le litige financier opposant les parties revêt un caractère civil prépondérant, de sorte que c'est à juste titre que le Ministère public a classé ce pan de la procédure. La décision querellée devra, sur ce point être confirmée.</w:t>
      </w:r>
    </w:p>
    <w:p>
      <w:r>
        <w:rPr>
          <w:b/>
        </w:rPr>
        <w:t>E. 5</w:t>
      </w:r>
    </w:p>
    <w:p>
      <w:r>
        <w:t>L'admission du recours ne donne pas lieu à la perception de frais (art. 428 al. 1 CPP). Les recourants, parties plaignantes qui obtiennent partiellement gain de cause, ont demandé une indemnité qu'ils n'ont nullement chiffrée. Il ne leur en sera par conséquent pas alloué (art. 433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