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P/5830/2005 vom 2. Februar 2016</w:t>
      </w:r>
    </w:p>
    <w:p>
      <w:r>
        <w:t>GE Cour de justice, 2016-02-02, FR</w:t>
      </w:r>
    </w:p>
    <w:p>
      <w:r>
        <w:rPr>
          <w:b/>
        </w:rPr>
        <w:t xml:space="preserve">Quelle: </w:t>
      </w:r>
      <w:r>
        <w:t>https://mcp.opencaselaw.ch/entscheid/ge_gerichte_P_5830_2005</w:t>
      </w:r>
    </w:p>
    <w:p>
      <w:r>
        <w:t>FR: GE_GERICHTE P/5830/2005 du 2 février 2016</w:t>
      </w:r>
    </w:p>
    <w:p>
      <w:r>
        <w:t>IT: GE_GERICHTE P/5830/2005 del 2 febbraio 2016</w:t>
      </w:r>
    </w:p>
    <w:p>
      <w:pPr>
        <w:pStyle w:val="Heading2"/>
      </w:pPr>
      <w:r>
        <w:t>Regeste</w:t>
      </w:r>
    </w:p>
    <w:p>
      <w:r>
        <w:t>FAUX MATÉRIEL DANS LES TITRES; ESCROQUERIE; UTILISATION FRAUDULEUSE D'UN ORDINATEUR; PRINCIPE DE L'ACCUSATION; TÉLÉPHONE MOBILE; ASTUCE; FAUSSE INDICATION; HOMME DE PAILLE; SOCIÉTÉ FICTIVE; CONCOURS D'INFRACTIONS; PARTIE CIVILE; DOMMAGE; PROCÉDURE CIVILE; ALLOCATION AU LÉSÉ; SÛRETÉS; COMPENSATION DE CRÉANCES; SÉQUESTRE(MESURE PROVISIONNELLE) | CPP.9.1; CPP.325.1; CPP.118; CPP.119; CPP.240.1; CPP.240.4; CP.251; CP.146; CP.147; CP.70.1; CP.70.2; RAJ.16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p. 244 ; 126 I 19 consid. 2a p. 21 ; arrêt du Tribunal fédéral 6B_418/2014 du 27 janvier 2015 consid. 1.1).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Des imprécisions quant au lieu ou à la date de l'infraction reprochée sont sans portée dès lors qu'il n'existe dans l'esprit du prévenu aucun doute quant au comportement qui lui est reproché (arrêts du Tribunal fédéral 6B_552/2014 du 25 septembre 2014 consid. 1.1 ; 6B_1121/2013 du 6 mai 2014 consid. 3.2 ; 6B_210/2013 du 13 janvier 2014 consid. 1.2). La question de savoir si l'indication temporelle donnée est suffisamment précise doit être examinée concrètement, en tenant compte de tous les éléments mentionnés dans l'acte d'accusation (arrêt du Tribunal fédéral 6B_728/2014 du 3 juin 2015 consid. 3.2).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Pour le Tribunal fédéral il faut et il suffit que tous les éléments constitutifs de l'infraction considérée figurent dans l'acte d'accusation, avec une précision suffisante pour permettre au prévenu de comprendre les faits et les infractions reprochées et d'exercer efficacement ses droits à la défense (notamment, arrêt non publié 6B_424/2012 du 25 octobre 2012 consid. 1.5). La doctrine précise encore que le tribunal du fond est en principe lié par le complexe de faits (" Lebensvorgang "), c'est-à-dire par le " thème " du procès, ce conformément à la maxime d'accusation. Les compléments de l'acte d'accusation doivent donc se situer dans le cadre fixé par le complexe de faits qu'il décrit (A. DONATSCH / T. HANSJAKOB / V. LIEBER (éds), Kommentar zur Schweizerischen Strafprozess-ordnung (StPO) , Zurich 2010, n. 3 ad art. 333). En d'autres termes, il arrive que la maxime d'accusation se heurte à d'autres principes cardinaux de la procédure pénale, tels que le principe de la légalité et le principe de la vérité matérielle. Il en découle que toute adaptation de l'acte d'accusation ne constitue pas une violation du principe d'accusation, y compris lorsque l'acte d'accusation doit être complété par des éléments de faits nouveaux. Cependant, un complément à l'acte d'accusation ne peut se concevoir que si les faits y sont pour l'essentiel (" im Kern ") déjà contenus (M. NIGGLI / M. HEER / H. WIPRÄCHTIGER, Strafprozessordnung – Jugendstrafprozessordnung, Basler Kommentar StPO/ JStPO , 2 e éd., Bâle 2014, n. 52 ss ad art. 9).</w:t>
      </w:r>
    </w:p>
    <w:p>
      <w:r>
        <w:rPr>
          <w:b/>
        </w:rPr>
        <w:t>E. 2.2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 Il y a faux matériel lorsqu'une personne fabrique un titre dont l'auteur réel ne coïncide pas avec l'auteur apparent. Le faussaire crée un titre qui trompe sur l'identité de celui dont il émane en réalité (ATF 128 IV 265 consid. 1.1.1 p. 268 et les références citées).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6S.37/2007 du 19 avril 2007 consid. 8.1.1 et les références citées). De même, une reconnaissance de dette signée par le débiteur sous un faux nom constitue un faux matériel dès lors que le créancier sera entravé pour faire valoir ses droits en procédure (ATF 132 IV 57 consid. 5). 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(ATF 133 IV 303 consid. 4.4 non publié et les références citées). 2.3.1. 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La tromperie astucieuse doit amener la dupe, dans l'erreur, à accomplir un acte préjudiciable à ses intérêts pécuniaires ou à ceux d'un tiers. La dupe doit conserver une certaine liberté de choix. L'erreur créée ou confortée par la tromperie doit motiver l'acte (ATF 119 IV 210 consid. 3d p. 214). L'escroquerie ne sera consommée que s'il y a un dommage. Sur le plan subjectif, l'escroquerie est une infraction intentionnelle, l'intention devant porter sur tous les éléments constitutifs de l'infraction. S'agissant d'une escroquerie, il faut en particulier que l'auteur ait eu l'intention de commettre une tromperie astucieuse ( cf . ATF 128 IV 18 consid. 3b p. 21). L'auteur doit en outre agir dans le dessein de se procurer ou de procurer à un tiers un enrichissement illégitime, soit un avantage patrimonial correspondant au désavantage patrimonial constituant le dommage (ATF 134 IV 210 consid. 5.3 p. 213 s.). 2.3.2. La condition du caractère astucieux de la tromperie est réalisée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125 IV 124 consid. 3a p. 127 s. et les arrêts cités).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6B_623/2014 du 5 janvier 2015 consid. 1.2.1).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n'est donc écartée que si la dupe n'a pas procédé aux vérifications élémentaires que l'on pouvait attendre d'elle au vu des circonstances ; une coresponsabilité de celle-ci n'exclut l'astuce que dans des cas exceptionnels (ATF 135 IV 76 consid. 5.2. ; arrêt du TF non publié 6B_99/2015 du 27 novembre 2015 consid. 3.3).</w:t>
      </w:r>
    </w:p>
    <w:p>
      <w:r>
        <w:rPr>
          <w:b/>
        </w:rPr>
        <w:t>E. 2.4</w:t>
      </w:r>
    </w:p>
    <w:p>
      <w:r>
        <w:t>L'art. 147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Il y a en particulier intervention sur un processus de données, au sens de l'art. 147 CP, lors de l'utilisation d'un appareil de téléphonie mobile (ATF 129 IV 315 consid. 2.3.3, JdT 2005 IV 9).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 autrement dit, au lieu de tromper une personne, l'auteur fausse les conditions qui déterminent la réaction de la machine.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 "escroquerie informatique" , revêt ainsi un caractère subsidiaire par rapport à l'escroquerie ; si la manipulation d'une machine ne suffit pas pour obtenir le résultat, mais qu'il faut encore qu'une personne soit trompée, l'escroquerie prime l'utilisation frauduleuse d'un ordinateur (ATF 129 IV 22 consid. 4.2 et références citées). 2.5.1. En ce qui concerne l'infraction de faux dans les titres, l'acte d'accusation indique qu'il est reproché à l'intéressé d'avoir convaincu la partie plaignante C______ de conclure, le 13 décembre 2004, le contrat-cadre ______ et le contrat ______ portant la signature de G______, soit un "faux nom" , ainsi que, les 26 novembre et 20 décembre 2004, des contrats " ______ " et " ______ ", portant la signature falsifiée de I______, et d'avoir convaincu E______ de signer, entre novembre et le 27 janvier 2005, des " formulaires d'inscription E______ " portant également la signature falsifiée de I______, ce dans le dessein d'une part d'obtenir presque gratuitement des téléphones portables destinés à un trafic de ces appareils vers les pays de l'Est, d'autre part d'utiliser les cartes SIM afin d'effectuer des appels de manière indue. Les faits ainsi rapportés dans l'acte d'accusation correspondent à tous les éléments objectifs et subjectifs de l'infraction de faux dans les titres matériel, s'agissant d'avoir induit les opérateurs C______ et E______ à conclure des contrats sur lesquels avait été apposée la fausse signature de G______, personnage inexistant, ou la signature falsifiée de I______, ce afin d'obtenir une prestation indue. Peu importe que l'on ignore si l'appelant a lui-même forgé ces signatures, ou s'il a requis des tiers de le faire, le reproche étant d'en avoir fait usage, pour avoir fait présenter les contrats ainsi faussement signés au cocontractant. Au risque de la redondance, puisque cela ne créait pas d'infraction supplémentaire distincte, le complexe de fait restant le même, le MP aurait pu choisir de reprocher, à l'appelant d'avoir aussi forgé ou demandé à un ou des tiers de forger ces signatures. Ceci étant, le choix de la concision n'emporte pas à conséquence négative, dès lors que les faits décrits dans l'acte d'accusation correspondent à au moins l'une des hypothèses de l'art. 251 CP. Peu importe aussi que, comme il apparaîtra ci-après ( cf. infra 2.6.3.1), l'état de fait décrit dans l'acte d'accusation soit partiellement erroné, certains contrats ne portant pas la signature (fausse) de I______ ou de G______, mais celle (authentique) de AC______. Au stade de l'examen formel de l'acte d'accusation, il suffit en effet de constater que, supposés avérés, les faits décrits permettent la subsomption. 2.5.2. Le deuxième grief fait à l'appelant est d'avoir, "dans les circonstances [précédemment] décrites" , convaincu C______ de signer les contrats précités et de subventionner de la sorte le prix des 510 téléphones portables acquis à prix réduit auprès de K______, en contrepartie de l'engagement souscrit par H______ d'utiliser les services de communications mobile fournis par C______, alors qu'il n'avait à aucun moment l'intention d'honorer lesdits contrats, causant un préjudice à C______ de CHF 228'440.-, correspondant au montant versé à K______, et CHF 183'229.75, afférent aux frais d'abonnements mensuels. Derechef, ces faits correspondent aux éléments constitutifs objectifs et subjectifs de l'infraction envisagée, soit celle d'escroquerie. Certes, la tromperie n'est pas décrite dans les moindres détails, mais les indications données étaient suffisantes pour permettre à l'appelant de comprendre ce qui lui était reproché, y compris au plan de l'astuce, s'agissant d'avoir usé d'un édifice de mensonges sous la forme du recours à une société de droit suisse, dont l'administrateur était à ses ordres, d'une fausse identité, de fausses signatures, de contacts téléphoniques et de l'intervention de plusieurs tierces personnes. 2.5.3. Enfin, en ce qui concerne l'infraction d'utilisation frauduleuse d'un ordinateur, l'acte d'accusation mentionne que les 300 raccordements téléphoniques obtenus auprès de E______ par l'appelant, sous couvert de H______, dans les circonstances déjà décrites, ont été frauduleusement utilisés pour effectuer, entre le 30 juillet et le 1 er août 2005, près de 90'000 appels sur des numéros à forte valeur ajoutée qu'il avait précédemment ouverts sur des réseaux BV______, grecs, hollandais, AX______ et O______ afin d'encaisser le prix de ces appels, causant de la sorte à E______ un préjudice de CHF 1'425'599,75. Quoi qu'en dise l'appelant, cette description correspond à l'une des hypothèse de l'art. 147 CP selon la jurisprudence précitée, soit celle de l'intervention indue sur un processus de données, avec pour conséquence un transfert d'actifs au préjudice d'autrui, ce dans un dessein d'enrichissement illégitime. 2.5.4. En conclusion, l'acte d'accusation tel qu'il est rédigé présente un degré de précision suffisant pour satisfaire aux exigences découlant du principe accusatoire, soit permettre au prévenu de comprendre ce qui lui est reproché et exercer efficacement les droits de la défense. C'est d'ailleurs sans doute pour ce motif que l'intéressé n'a pas soulevé le grief devant le premier juge. Le jugement contient pour sa part un état de fait beaucoup plus précis et complet, y compris s'agissant d'éléments périphériques ou de preuve, notamment ceux permettant de retenir que l'appelant, U______ et G______ ne font qu'un, mais cela répond à une autre exigence posée par le CPP, soit celle de la motivation des décisions, et n'est donc pas relevant au stade de l'examen de l'acte d'accusation. Le grief de l'appelant, tardif et infondé, tiré d'un vice allégué dudit acte, sera partant rejeté. 2.6.1. A aucun moment lors des débats devant la Cour de céans, l'appelant, s'exprimant par le truchement d'un collaborateur et d'une avocate-stagiaire de son défenseur d'office, n'a contesté l'essentiel des points retenus par le premier juge, soit notamment que lui-même, U______ et G______ ne faisaient qu'un, qu'il s'était porté acquéreur des actions de la société H______ et en avait fait désigner un homme de paille, I______, en qualité d'administrateur, qu'il avait obtenu la livraison des téléphones mobiles acquis de K______ moyennant la conclusion de contrats de téléphonie mobile auprès de l'opérateur C______ et que les contrats avec E______ avaient été conclus selon ses instructions. A juste titre, car ces éléments sont établis par le dossier. 2.6.2. En particulier, la conclusion que l'appelant utilisait les identités d'emprunt de G______, correspondant à un individu en réalité inexistant, et de U______, repose sur une multitude d'éléments. Sans que cette liste ne soit exhaustive, il sera rappelé notamment que l'appelant a admis en cours de procédure qu'il était l'ayant-droit économique de H______, dont il détenait les certificats d'actions le jour de son arrestation ; or, selon I______ et les employés de la AB______, l'ayant-économique de la société se faisait appeler G______. P______, belle-sœur de l'appelant et AC______ ont fait des dépositions semblables s'agissant de l'usage de ces alias et P______ a été annoncée comme la personne de contact dans le cadre de l'acquisition de H______ par le soi-disant G______. Les quatre femmes intervenues à diverses étapes (acquisition de H______, locaux loués par Q______, paiements, ramassage des téléphones livrés) disent avoir été mises en œuvre par l'appelant. P______ et AC______ se sont aussi exprimées sur l'utilisation par l'appelant d'un véhicule de marque AT______ immatriculé à l'étranger, la première étant d'ailleurs venue à Genève effectuer un paiement à I______ aux fins du leasing . Selon cette dernière, l'appelant se présentait sous le nom de "U______" . Le soi-disant G______ a dit à I______ avoir été contrôlé au volant de la AT______ prise en leasing par H______ mais s'est légitimé au moyen du passeport de U______. Lors de son arrestation, l'appelant était pour sa part en possession du contrat de leasing , de ses propres documents d'identité et du passeport de U______, ainsi que des extraits du compte bancaire au nom de ce dernier auprès de la V______ de AU______, compte au débit duquel certains paiements ont été opérés à H______ ou en sa faveur ; il possédait aussi un téléphone portable provenant d'un des lots vendus par C______ contenant des photographies privées, ainsi que, dans son répertoire, les numéros de moult protagonistes de l'affaire, et la présence de son ADN a été relevée dans la voiture. 2.6.3.1. Il résulte clairement du considérant 4.2 du jugement entrepris que seuls ont été qualifiés de faux matériel les dix contrats individuels et le contrat-cadre ______ C______ de même que la formule d'inscription E______, documents sur lesquels a été apposée la signature, arguée de faux, de I______ ainsi que, pour deux d'entre eux, celle de G______. Il importe dès lors peu que les 500 contrats individuels ______ du 26 novembre 2004 portent, ou, dans la mesure où ils n'ont pas tous été produits, soient réputés porter, la signature authentique de AC______. Certes, l'acte d'accusation parait viser à tort – erreur ? confusion ? – également ces derniers contrats, mais le premier juge ne s'y est pas trompé, de sorte que l'appelant n'a pas été retenu coupable de faux dans les titre en relation avec ces 500 documents. Son grief à cet égard sera partant écarté. 2.6.3.2. Les 12 contrats pour lesquels la culpabilité de l'appelant a été retenue sont bien des titres, dans la mesure où ils tendent à établir que les parties contractantes ont souscrit les obligations qui en découlent, soit un fait ayant incontestablement une portée juridique. L'avis de doctrine (B. CORBOZ, Les infractions en droit suisse , vol. II, 3 ème éd., Berne 2010, N. 153 ad art. 251, p. 259) auquel se réfère l'appelant n'est pas pertinent en l'occurrence puisque l'hypothèse évoquée par cet auteur est celle du faux intellectuel, alors que ce sont des faux matériels qui sont présentement envisagés. 2.6.3.3.1. La signature de G______ sur le contrat-cadre ______ est nécessairement fausse, puisque cette identité n'est qu'un alias utilisé par l'appelant, comme il vient d'être retenu. 2.6.3.3.2. La Cour estime qu'il n'est pas nécessaire de recourir à une expertise graphologique – mesure probatoire que l'appelant s'est au demeurant bien gardé de requérir – pour parvenir à la même conclusion s'agissant de la signature de I______ figurant prétendument sur les contrats individuels, sur le contrat-cadre précité et sur le contrat auprès de E______, étant d'emblée observé que ces trois signatures ne sont pas identiques, ce qui saute aux yeux, même ceux de non-experts. La signature figurant sur les dix contrats du 26 novembre 2004 est totalement différente non seulement de celle apposée sur les deux autres pièces taxées de faux, mais aussi de celles figurant sur la procuration en faveur de AC______, qu'I______ admet avoir signée (pièce 100090), ou sur les procès-verbaux de ses auditions par le Juge d'instruction, par exemple. S'il est vrai que les déclarations de I______ doivent être examinées avec une certaine retenue, l'individu ayant fait preuve d'une légèreté certaine, cela ne signifie pas pour autant que toute affirmation de sa part doive être tenue pour inexacte. Au contraire, ses dires doivent être appréciés à l'aune des autres éléments du dossier. I______ a clairement affirmé qu'il n'avait pas signé ces pièces, alors même qu'il a en revanche admis avoir signé la procuration sur la base de laquelle AC______ a ensuite conclu les 500 contrats individuels ayant donné lieu à la livraison des 500 appareils téléphoniques et autant de cartes SIM, de sorte qu'on ne peut avoir le soupçon qu'il cherchait à se distancer de l'opération en niant avoir signé les contrats. Il est vrai que I______ avait initialement aussi contesté avoir signé le bon de livraison de la AT______ mais il n'y a pas de raison de ne pas le croire lorsqu'il indique s'être trompé, dans la mesure où il avait admis en revanche avoir signé les autres pièces relatives au véhicule, notamment le contrat de leasing . L'administrateur de la société a d'ailleurs ajouté qu'il n'avait jamais non plus possédé le tampon humide "H______" apposé, notamment, sur le formulaire E______ et le contrat-cadre C______, détail d'autant plus crédible que P______ a par contre vu cet objet chez l'appelant. Le fait que le contrat-cadre C______ porte également la griffe du soi-disant G______ est encore un indice de sa fausseté. Dans ces circonstances, les dénégations de I______ concernant l'authenticité des signatures apposées en son nom doivent-elles être tenues pour crédibles. Le dossier présente donc un faisceau d'indice fort fondant la conviction que la signature sur les 12 contrats en cause ici est fausse, comme retenu par le premier juge, de sorte que ces titres sont des faux matériels. 2.6.3.4. Bien qu'on ignore si l'appelant a lui-même forgé ces signatures et/ou les a fait falsifier, il reste qu'il a fait usage des contrats ainsi pré signés faussement en les soumettant à C______ et E______ afin que ces prestataires les contresignent à leur tour, préalable nécessaire à la livraison des appareils téléphoniques subventionnés et des cartes SIM, alors qu'il n'a jamais eu l'intention de faire exécuter par H______ les obligations de paiement découlant des contrats et réservait les cartes SIM à un usage abusif, comme il sera retenu ci-après. Le verdict de culpabilité de faux dans les titres doit partant être confirmé. 2.7.1. Comme retenu par le premier juge, l'appelant a acquis H______, soit une coquille vide, et s'est adjoint les services d'un administrateur de paille. Il a agi sous couvert de l' alias G______, afin de cacher sa réelle identité. Il a fait conclure les dix contrats ______ , nécessaire préalable, selon les conditions générales de C______, à l'acquisition du statut de client ______ puis a organisé une rencontre avec une représentante de C______ dans des locaux préalablement loués auprès de T______, réunion à laquelle il a dépêché trois personnes, munies de cartes de visites. L'appelant a ensuite imité ou fait imiter la signature de I______ sur le contrat-cadre ______ puis instruit I______ de délivrer une procuration en faveur de AC______ qu'il a envoyée signer les 500 contrats individuels relatifs à la souscription des 500 raccordements téléphoniques donnant droit à la livraison d'autant d'appareils téléphoniques à très bas prix. L'appelant a ainsi indéniablement eu recours à un échafaudage de mensonges pour obtenir la livraison desdits téléphones. Il ne le conteste d'ailleurs plus à ce stade de la procédure mais soutient que la tromperie n'était pas astucieuse. 2.7.2. Il ne saurait être suivi sur ce point. La procédure mise en place par C______ pour déjouer des manœuvres de ce type n'est pas inconsistante, puisque seuls des clients disposant déjà d'au moins cinq raccordements peuvent souscrire le contrat-cadre ______ . Par ailleurs, les contrats n'ont été conclus que dans le cadre de contacts téléphoniques et directs avec une société suisse ayant l'apparence de s'installer pour démarrer une activité. On ne peut guère considérer que l'opération était particulièrement importante, eu égard au volume d'affaires de C______, notoirement l'acteur principal dans le domaine, entre autres, de la téléphonie en Suisse. D'ailleurs, le dommage subi, d'un peu plus de CHF 220'000.- ne pèse certainement pas très lourd dans le bilan de l'entreprise. L'appelant ne saurait donc être suivi lorsqu'il soutient qu'eu égard à l'importance de la transaction, la dupe aurait dû effectuer des vérifications poussées, notamment s'agissant de la réalité de l'activité de H______ ou de la bonne réputation de son administrateur. De même, le premier juge a à juste titre retenu qu'il ne peut être exigé de la partie plaignante C______ qu'elle demande par principe un paiement anticipé, sauf à intervenir dans sa stratégie commerciale. On ne se trouve ainsi manifestement pas dans l'hypothèse exceptionnelle où la coresponsabilité alléguée de la dupe permettrait d'exclure le caractère astucieux de la machination dont elle a été victime. 2.7.3. L'appelant parait également avoir renoncé à soutenir, à ce stade de la procédure, qu'il avait l'intention d'honorer ou de faire honorer par H______ les contrats C______. A juste titre, aucun élément du dossier ne permettant de retenir qu'il aurait acquis la société en vue de l'exercice d'une quelconque activité économique réelle, ni que celle-ci aurait eu les moyens de payer les frais mensuels des 500 contrats de téléphonie mobile jusqu'à leur échéance. Le premier juge a d'ailleurs à raison souligné que seules les factures de novembre et décembre 2004 avaient été payées, sur l'initiative de I______, lequel s'était inquiété à réception des courriers de C______. Sans même qu'il soit nécessaire de s'interroger sur l'usage que l'appelant entendait faire des cartes SIM de C______, le dessein d'enrichissement illégitime est en tout état réalisé, celui-ci ayant eu recours à la tromperie astucieuse pour obtenir une prestation indue sous la forme de 500 appareils téléphoniques à prix subventionnés par les contrats d'abonnement inexécutés. 2.7.4. Le verdict de culpabilité du chef d'escroquerie doit ainsi également être confirmé. 2.8.1. Entre le 30 juillet et le 1er août 2005, 89'112 appels ont été effectués à l'aide de centaines de raccordements, dont plusieurs (222 selon la plainte) provenant des abonnements que H______ avait souscrit auprès de E______. Ces milliers d'appels ont été passés depuis l'étranger sur de nombreux numéros à valeur ajoutée. La fraude mise en place devait permettre au(x) bénéficiaire(s) final(aux) des numéros à valeur ajoutée appelés d'encaisser le prix des appels passés sur lesdits numéros avant que l'opérateur, en l'occurrence E______, ne puisse facturer le prix des appels passés à son abonné, soit H______, laquelle n'était pas en mesure de s'en acquitter, ni n'en avait l'intention. L'argument tiré de l'absence de preuve du paiement par E______ aux providers étrangers tombe à faux dès lors que dans l'éventualité d'un défaut de paiement ou règlement de la dette par un autre moyen (on imagine que les opérateurs doivent être liés entre eux par des systèmes de compensation), la partie plaignante n'en aurait pas moins subi un dommage, son patrimoine étant grevé d'une dette correspondant aux frais de roaming réclamés par ses partenaires. Les appels, dont il peut être retenu à un degré de vraisemblance confinant à la certitude, vu leur multiplicité en un très court laps de temps, qu'ils ont été générés informatiquement, avaient manifestement pour seul but d'ouvrir frauduleusement le droit à l'encaissement du prix de l'appel par le titulaire du numéro appelé. Il s'agissait par conséquent d'une activité indue, exorbitante des contrats d'abonnement. Tous les éléments constitutifs objectifs et subjectif de l'infraction prévue à l'art. 147 CP sont ainsi réalisés. 2.8.2. L'appelant, agissant sous le couvert de H______, est l'auteur de l'infraction, pour avoir mis en place toute l'opération tendant à la délivrance des cartes SIM utilisées aux dépens de E______. Il s'est d'ailleurs lui-même acquitté du montant des factures de l'opérateur, réglées par débit du compte ouvert auprès de la V______ de AU______, ce qui permettait de maintenir les raccordements actifs jusqu'à la commission de l'infraction. Vu les documents saisis dans sa voiture, il est en outre établi qu'il s'est procuré un appareil GSM permettant de passer des appels multiples, ou a tenté de le faire, et qu'il se renseignait sur le coût de roaming international. Certes, l'instruction n'a pas permis de déterminer l'identité exacte du ou des bénéficiaires de l'opération illicite mais l'expérience générale de la vie conduit la Cour a retenir que l'appelant a nécessairement agi dans le but de tirer un profit patrimonial du mécanisme sophistiqué qu'il avait mis en place, de sorte qu'il devait être le bénéficiaire de l'opération, ou, à tout le moins, faire partie du cercle des bénéficiaires. Au demeurant, comme plaidé par le MP, à supposer que l'intéressé aurait commis l'infraction pour le seul bénéfice de tiers demeurés inconnus, l'élément constitutif de l'enrichissement illégitime n'en serait pas moins réalisé, et ce n'est pas s'écarter excessivement de l'acte d'accusation que d'évoquer cette hypothèse, à titre superfétatoire.</w:t>
      </w:r>
    </w:p>
    <w:p>
      <w:r>
        <w:rPr>
          <w:b/>
        </w:rPr>
        <w:t>E. 2.9</w:t>
      </w:r>
    </w:p>
    <w:p>
      <w:r>
        <w:t>La culpabilité de l'appelant de tous les chefs d'infraction retenus par le premier juge doit partant être confirmée et l'appel rejeté sur ce point.</w:t>
      </w:r>
    </w:p>
    <w:p>
      <w:r>
        <w:rPr>
          <w:b/>
        </w:rPr>
        <w:t>E. 3</w:t>
      </w:r>
    </w:p>
    <w:p>
      <w:r>
        <w:t>À raison, l'appelant n'a formulé aucun grief à l'égard de la peine infligée, laquelle est conforme aux critères posés par l'art. 47 CP, adéquate et est le résultat d'une réduction proportionnée tenant compte de la violation du principe de célérité.</w:t>
      </w:r>
    </w:p>
    <w:p>
      <w:r>
        <w:rPr>
          <w:b/>
        </w:rPr>
        <w:t>E. 4</w:t>
      </w:r>
    </w:p>
    <w:p>
      <w:r>
        <w:t>4.1. À teneur de l'art. 118 al. 1 CPP, seul peut se constituer partie plaignante le lésé qui déclare expressément vouloir participer à la procédure pénale comme demandeur au pénal ou au civil ; selon le 3 ème alinéa de cette disposition, la déclaration doit être faite devant une autorité de poursuite pénale avant la clôture de la procédure préliminaire. Cette limite temporelle est restrictive et la sanction d'une déclaration tardive est celle de l'irrecevabilité (A. KUHN / Y. JEANNERET (éds), Commentaire romand : Code de procédure pénale suisse , Bâle 2011, n. 16 à 19 ad. art. 118 ; DCPR/130/2011 du 7 juin 2011). Dans la mesure du possible, la partie plaignante chiffre ses conclusions civiles dans sa déclaration au sens de l'art. 119 CPP et les motive par écrit (art. 123 al. 1 1 ère phrase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1B_94/2015 du 26 juin 2015 consid. 2.1 et les références citées).</w:t>
      </w:r>
    </w:p>
    <w:p>
      <w:r>
        <w:rPr>
          <w:b/>
        </w:rPr>
        <w:t>E. 4.2</w:t>
      </w:r>
    </w:p>
    <w:p>
      <w:r>
        <w:t>En l'occurrence, les parties plaignantes ont fait la déclaration prévue aux art. 118 et 119 CPP et ont fait valoir leurs conclusions civiles, par courriers du 25 mai 2012 au MP puis encore devant le premier juge. Les pièces produites, lues à la lumière des éléments du dossier, notamment les dépositions des employés des parties plaignantes et de K______, permettent d'établir d'une part que C______ a bien payé à cette dernière la somme de CHF 228'440.-, dont le Tribunal de police a déduit les sommes payées par I______ (au total CHF 9'878.20), et, d'autre part, que E______ a été facturée des frais de roaming sans pouvoir les répercuter à H______. Pour le surplus, rien n'interdit au lésé d'agir concurremment devant le juge pénal, à l'encontre d'un prévenu, et devant le juge civil, à l'encontre d'autres protagonistes, tenus pour responsables civilement, conformément aux règles découlant de la solidarité (art. 50 et 51 loi fédérale du 30 mars 1911, complétant le Code civil suisse [CO, Code des obligations - RS 220]), pour autant qu'il n'obtienne, in fine , davantage que son préjudice. L'appelant ne démontre pas que tel serait le cas en l'occurrence, ni même ne l'affirme, se bornant à évoquer une intention attribuée aux parties plaignantes. Ses griefs à l'encontre de la condamnation au paiement en faveur des parties plaignantes seront partant également rejetés.</w:t>
      </w:r>
    </w:p>
    <w:p>
      <w:r>
        <w:rPr>
          <w:b/>
        </w:rPr>
        <w:t>E. 5</w:t>
      </w:r>
    </w:p>
    <w:p>
      <w:r>
        <w:t>Bien qu'ayant formellement dirigé son appel également contre la dévolution des sûretés à l'État de Genève en application de l'art. 240 al. 1 CPP et leur allocation aux lésés selon les art. 70 al. 1 et 2 CP ainsi que 240 al. 4 CPP, l'appelant n'a développé aucun argumentation à l'appui de ses conclusions en restitution de ces fonds, se bornant à indiquer qu'il "laiss[ait] juge" la juridiction d'appel. Dite juridiction ne peut que constater que les conditions de l'exécution de la caution selon l'art. 240 al. 1 CPP sont réalisées, l'appelant n'ayant pas comparu à la dernière audience devant le MP, ni aux deux audiences appointées par le Tribunal de police, ce sans excuse valable, et s'étant de la sorte soustrait à la procédure. De même, il était conforme aux art. 240 al. 4 CPP et de l'art. 70 CP d'allouer les suretés aux parties plaignantes, en couverture du dommage subi, celles-ci ayant cédé à due concurrence leur créance à l'État.</w:t>
      </w:r>
    </w:p>
    <w:p>
      <w:r>
        <w:rPr>
          <w:b/>
        </w:rPr>
        <w:t>E. 6</w:t>
      </w:r>
    </w:p>
    <w:p>
      <w:r>
        <w:t>Dans la mesure où il laisse entendre que le titulaire des chèques dont la contre-valeur a été affectée au paiement des frais de justice serait U______, l'appelant n'a pas la qualité pour conclure à la restitution de ces titres ou se plaindre du sort qui leur a été réservé, n'étant, à le suivre, pas touché dans ses droits. Ceci étant, les chèques ont été émis le 28 décembre 2005, alors que U______, dont il est établi que l'appelant usurpait l'identité depuis qu'il avait subtilisé son passeport durant l'été 2004, se trouvait en AQ______, et c'est l'appelant qui a vainement tenté de les encaisser auprès de diverses banques de Vilnius. Ces éléments démontrent que les chèques ont été émis à la demande de l'appelant et lui appartiennent. Le jugement dont est appel sera par conséquent aussi confirmé dans la mesure où il affecte la contre-valeur des chèques au paiement des frais de la procédure, mis à charge de l'appelant, au sens de l'art. 442 al. 4 CPP.</w:t>
      </w:r>
    </w:p>
    <w:p>
      <w:r>
        <w:rPr>
          <w:b/>
        </w:rPr>
        <w:t>E. 7</w:t>
      </w:r>
    </w:p>
    <w:p>
      <w:r>
        <w:t>7.1. L'appelant succombe intégralement de sorte que les frais de la procédure d'appel, lesquels comprennent un émolument de CHF 5'000.- (art. 428 al. 1 CPP et art. 14 al. 1 let. e du règlement fixant le tarif des frais en matière pénale, du 22 décembre 2010 [RTFMP ; RS-GE E 4 10.03]) seront mis à sa charge.</w:t>
      </w:r>
    </w:p>
    <w:p>
      <w:r>
        <w:rPr>
          <w:b/>
        </w:rPr>
        <w:t>E. 7.2</w:t>
      </w:r>
    </w:p>
    <w:p>
      <w:r>
        <w:t>Le verdict de culpabilité étant confirmé, le condamné ne peut prétendre à indemnisation au sens de l'art. 429 CPP.</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AARP/331/2015 du 27 juillet 2015 ; AARP/325/2015 du 20 juillet 2015 et AARP/300/2015 du 16 juillet 2015). 8.2.4. En revanche, le temps consacré à la consultation et à l'étude du dossier est indemnisé en fonction du temps effectivement consacré (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 AARP/295/2015 du 12 juillet 2015 consid. 8.3.1.1 et 8.3.2.1). 8.2.5.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8.3</w:t>
      </w:r>
    </w:p>
    <w:p>
      <w:r>
        <w:t>En l'occurrence, le dossier est volumineux et relativement complexe au plan factuel. En prévision des débats d'appel, le défenseur d'office a dû, une année après l'audience de jugement, s'y replonger, alors qu'il avait précédemment dû se l'approprier rapidement, sa désignation d'office n'étant intervenue qu'à un stade avancé de la procédure devant le premier juge. Ces circonstances font qu'il pouvait n'avoir conservé qu'un souvenir vague de l'affaire et justifient une certaine souplesse dans l'appréciation de l'activité déployée en appel. Pour autant, l'activité facturée de 52 heures (38 heures et 20 minutes pour le collaborateur et 13 heures 40 minutes pour la stagiaire) est très largement excessive, étant observé qu'elle dépasse de près de 20 heures ce qui a été admis en première instance, alors que l'avocat avait alors dû prendre connaissance ab ovo du dossier et arrêter une stratégie de défense. Par ailleurs, les questions posées n'étant pas particulièrement pointues, les recherches juridiques ne pouvaient relever que d'un rafraichissement des connaissances d'un avocat breveté, ou de la formation continue d'un stagiaire, ce qui ne relève pas de l'assistance juridique. En définitive, pesant l'ensemble des paramètres qui précèdent, la Cour admettra 24 heures d'activité, audience comprise, dont 16 au tarif collaborateur et 8 à celui réservé aux avocats-stagiaires,</w:t>
      </w:r>
    </w:p>
    <w:p>
      <w:r>
        <w:rPr>
          <w:b/>
        </w:rPr>
        <w:t>E. 8.4</w:t>
      </w:r>
    </w:p>
    <w:p>
      <w:r>
        <w:t>En conclusion, l'indemnité (arrondie) sera arrêtée à CHF 2'994.-, majoration forfaitaire de 10% (vu le nombre total d'heures consacrées à l'exécution du mandat depuis la nomination d'office) et équivalent de la TVA au taux de 8% (soit CHF 221.76), compris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